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adjustRightInd w:val="0"/>
        <w:spacing w:beforeAutospacing="0" w:afterAutospacing="0" w:line="500" w:lineRule="exact"/>
        <w:jc w:val="left"/>
        <w:rPr>
          <w:rFonts w:hint="eastAsia" w:ascii="仿宋" w:hAnsi="仿宋" w:eastAsia="仿宋" w:cs="仿宋"/>
          <w:b/>
          <w:bCs/>
          <w:color w:val="auto"/>
          <w:sz w:val="31"/>
          <w:szCs w:val="31"/>
          <w:lang w:val="en-US" w:eastAsia="zh-CN"/>
        </w:rPr>
      </w:pPr>
      <w:r>
        <w:rPr>
          <w:rFonts w:hint="eastAsia" w:ascii="仿宋" w:hAnsi="仿宋" w:eastAsia="仿宋" w:cs="仿宋"/>
          <w:b/>
          <w:bCs/>
          <w:color w:val="auto"/>
          <w:sz w:val="31"/>
          <w:szCs w:val="31"/>
          <w:lang w:eastAsia="zh-CN"/>
        </w:rPr>
        <w:t>附件</w:t>
      </w:r>
      <w:r>
        <w:rPr>
          <w:rFonts w:hint="eastAsia" w:ascii="仿宋" w:hAnsi="仿宋" w:eastAsia="仿宋" w:cs="仿宋"/>
          <w:b/>
          <w:bCs/>
          <w:color w:val="auto"/>
          <w:sz w:val="31"/>
          <w:szCs w:val="31"/>
          <w:lang w:val="en-US" w:eastAsia="zh-CN"/>
        </w:rPr>
        <w:t>1</w:t>
      </w:r>
    </w:p>
    <w:p>
      <w:pPr>
        <w:pStyle w:val="7"/>
        <w:widowControl/>
        <w:adjustRightInd w:val="0"/>
        <w:spacing w:beforeAutospacing="0" w:afterAutospacing="0" w:line="500" w:lineRule="exact"/>
        <w:jc w:val="center"/>
        <w:rPr>
          <w:rFonts w:hint="eastAsia" w:ascii="仿宋" w:hAnsi="仿宋" w:eastAsia="仿宋" w:cs="仿宋"/>
          <w:b/>
          <w:bCs/>
          <w:color w:val="auto"/>
          <w:sz w:val="31"/>
          <w:szCs w:val="31"/>
          <w:lang w:val="en-US" w:eastAsia="zh-CN"/>
        </w:rPr>
      </w:pPr>
      <w:r>
        <w:rPr>
          <w:rFonts w:hint="eastAsia" w:ascii="仿宋" w:hAnsi="仿宋" w:eastAsia="仿宋" w:cs="仿宋"/>
          <w:b/>
          <w:bCs/>
          <w:color w:val="auto"/>
          <w:sz w:val="31"/>
          <w:szCs w:val="31"/>
          <w:lang w:val="en-US" w:eastAsia="zh-CN"/>
        </w:rPr>
        <w:t>政府采购评分细则</w:t>
      </w:r>
    </w:p>
    <w:p>
      <w:pPr>
        <w:pStyle w:val="7"/>
        <w:keepNext w:val="0"/>
        <w:keepLines w:val="0"/>
        <w:pageBreakBefore w:val="0"/>
        <w:widowControl/>
        <w:numPr>
          <w:ilvl w:val="0"/>
          <w:numId w:val="0"/>
        </w:numPr>
        <w:kinsoku/>
        <w:wordWrap/>
        <w:overflowPunct/>
        <w:topLinePunct w:val="0"/>
        <w:autoSpaceDE/>
        <w:autoSpaceDN/>
        <w:bidi w:val="0"/>
        <w:adjustRightInd w:val="0"/>
        <w:spacing w:beforeAutospacing="0" w:afterAutospacing="0" w:line="520" w:lineRule="exact"/>
        <w:jc w:val="left"/>
        <w:textAlignment w:val="auto"/>
        <w:rPr>
          <w:rFonts w:hint="eastAsia" w:ascii="仿宋" w:hAnsi="仿宋" w:eastAsia="仿宋" w:cs="仿宋"/>
          <w:b/>
          <w:color w:val="auto"/>
          <w:sz w:val="32"/>
          <w:szCs w:val="32"/>
        </w:rPr>
      </w:pPr>
    </w:p>
    <w:p>
      <w:pPr>
        <w:pStyle w:val="7"/>
        <w:widowControl/>
        <w:adjustRightInd w:val="0"/>
        <w:spacing w:beforeAutospacing="0" w:afterAutospacing="0" w:line="500" w:lineRule="exact"/>
        <w:jc w:val="right"/>
        <w:rPr>
          <w:rFonts w:hint="eastAsia" w:ascii="仿宋" w:hAnsi="仿宋" w:eastAsia="仿宋" w:cs="仿宋"/>
          <w:b w:val="0"/>
          <w:bCs w:val="0"/>
          <w:color w:val="auto"/>
          <w:sz w:val="32"/>
          <w:szCs w:val="32"/>
        </w:rPr>
      </w:pPr>
    </w:p>
    <w:tbl>
      <w:tblPr>
        <w:tblStyle w:val="8"/>
        <w:tblpPr w:leftFromText="180" w:rightFromText="180" w:vertAnchor="page" w:horzAnchor="page" w:tblpX="1357" w:tblpY="3623"/>
        <w:tblW w:w="9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275"/>
        <w:gridCol w:w="780"/>
        <w:gridCol w:w="6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165" w:type="dxa"/>
            <w:shd w:val="clear" w:color="auto" w:fill="auto"/>
            <w:vAlign w:val="center"/>
          </w:tcPr>
          <w:p>
            <w:pPr>
              <w:pStyle w:val="7"/>
              <w:keepNext w:val="0"/>
              <w:keepLines w:val="0"/>
              <w:pageBreakBefore w:val="0"/>
              <w:widowControl/>
              <w:kinsoku/>
              <w:wordWrap/>
              <w:overflowPunct/>
              <w:topLinePunct w:val="0"/>
              <w:autoSpaceDE/>
              <w:autoSpaceDN/>
              <w:bidi w:val="0"/>
              <w:adjustRightInd w:val="0"/>
              <w:spacing w:beforeAutospacing="0" w:afterAutospacing="0" w:line="400" w:lineRule="exact"/>
              <w:jc w:val="center"/>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项目</w:t>
            </w:r>
          </w:p>
        </w:tc>
        <w:tc>
          <w:tcPr>
            <w:tcW w:w="1275" w:type="dxa"/>
            <w:shd w:val="clear" w:color="auto" w:fill="auto"/>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分项内容</w:t>
            </w:r>
          </w:p>
        </w:tc>
        <w:tc>
          <w:tcPr>
            <w:tcW w:w="780" w:type="dxa"/>
            <w:shd w:val="clear" w:color="auto" w:fill="auto"/>
            <w:noWrap/>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分值</w:t>
            </w:r>
          </w:p>
        </w:tc>
        <w:tc>
          <w:tcPr>
            <w:tcW w:w="6240" w:type="dxa"/>
            <w:shd w:val="clear" w:color="auto" w:fill="auto"/>
            <w:noWrap/>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165" w:type="dxa"/>
            <w:shd w:val="clear" w:color="auto" w:fill="auto"/>
            <w:vAlign w:val="center"/>
          </w:tcPr>
          <w:p>
            <w:pPr>
              <w:keepNext w:val="0"/>
              <w:keepLines w:val="0"/>
              <w:pageBreakBefore w:val="0"/>
              <w:kinsoku/>
              <w:wordWrap/>
              <w:overflowPunct/>
              <w:topLinePunct w:val="0"/>
              <w:autoSpaceDE/>
              <w:autoSpaceDN/>
              <w:bidi w:val="0"/>
              <w:spacing w:line="400" w:lineRule="exact"/>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符合性审查</w:t>
            </w:r>
          </w:p>
        </w:tc>
        <w:tc>
          <w:tcPr>
            <w:tcW w:w="1275" w:type="dxa"/>
            <w:shd w:val="clear" w:color="auto" w:fill="auto"/>
            <w:vAlign w:val="center"/>
          </w:tcPr>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资格</w:t>
            </w:r>
          </w:p>
        </w:tc>
        <w:tc>
          <w:tcPr>
            <w:tcW w:w="780" w:type="dxa"/>
            <w:shd w:val="clear" w:color="auto" w:fill="auto"/>
            <w:noWrap/>
            <w:vAlign w:val="center"/>
          </w:tcPr>
          <w:p>
            <w:pPr>
              <w:keepNext w:val="0"/>
              <w:keepLines w:val="0"/>
              <w:pageBreakBefore w:val="0"/>
              <w:kinsoku/>
              <w:wordWrap/>
              <w:overflowPunct/>
              <w:topLinePunct w:val="0"/>
              <w:autoSpaceDE/>
              <w:autoSpaceDN/>
              <w:bidi w:val="0"/>
              <w:spacing w:line="400" w:lineRule="exact"/>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35分</w:t>
            </w:r>
          </w:p>
        </w:tc>
        <w:tc>
          <w:tcPr>
            <w:tcW w:w="6240" w:type="dxa"/>
            <w:shd w:val="clear" w:color="auto" w:fill="auto"/>
            <w:noWrap/>
            <w:vAlign w:val="center"/>
          </w:tcPr>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满足报名资格要求的得35分，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165" w:type="dxa"/>
            <w:shd w:val="clear" w:color="auto" w:fill="auto"/>
            <w:vAlign w:val="center"/>
          </w:tcPr>
          <w:p>
            <w:pPr>
              <w:keepNext w:val="0"/>
              <w:keepLines w:val="0"/>
              <w:pageBreakBefore w:val="0"/>
              <w:kinsoku/>
              <w:wordWrap/>
              <w:overflowPunct/>
              <w:topLinePunct w:val="0"/>
              <w:autoSpaceDE/>
              <w:autoSpaceDN/>
              <w:bidi w:val="0"/>
              <w:spacing w:line="400" w:lineRule="exact"/>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办公场所（9分）</w:t>
            </w:r>
          </w:p>
        </w:tc>
        <w:tc>
          <w:tcPr>
            <w:tcW w:w="1275" w:type="dxa"/>
            <w:shd w:val="clear" w:color="auto" w:fill="auto"/>
            <w:vAlign w:val="center"/>
          </w:tcPr>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服务保障</w:t>
            </w:r>
          </w:p>
        </w:tc>
        <w:tc>
          <w:tcPr>
            <w:tcW w:w="780" w:type="dxa"/>
            <w:shd w:val="clear" w:color="auto" w:fill="auto"/>
            <w:noWrap/>
            <w:vAlign w:val="center"/>
          </w:tcPr>
          <w:p>
            <w:pPr>
              <w:keepNext w:val="0"/>
              <w:keepLines w:val="0"/>
              <w:pageBreakBefore w:val="0"/>
              <w:kinsoku/>
              <w:wordWrap/>
              <w:overflowPunct/>
              <w:topLinePunct w:val="0"/>
              <w:autoSpaceDE/>
              <w:autoSpaceDN/>
              <w:bidi w:val="0"/>
              <w:spacing w:line="400" w:lineRule="exact"/>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9分</w:t>
            </w:r>
          </w:p>
        </w:tc>
        <w:tc>
          <w:tcPr>
            <w:tcW w:w="6240" w:type="dxa"/>
            <w:shd w:val="clear" w:color="auto" w:fill="auto"/>
            <w:noWrap/>
            <w:vAlign w:val="center"/>
          </w:tcPr>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在赣州市中心城区范围（章贡区、赣州市经济开发区）内有固定办公场所（并具备开标、评标室、录像设备），办公场所面积150（含）平方米以下得3分，150（不含）-300（含）平米得6分，300平米以上的得9分。</w:t>
            </w:r>
          </w:p>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上述办公场所提供多处的，只以一处场所计分，不得多处累加，在同一栋建筑物内的办公场所属于单处办公场所。</w:t>
            </w:r>
          </w:p>
          <w:p>
            <w:pPr>
              <w:keepNext w:val="0"/>
              <w:keepLines w:val="0"/>
              <w:pageBreakBefore w:val="0"/>
              <w:kinsoku/>
              <w:wordWrap/>
              <w:overflowPunct/>
              <w:topLinePunct w:val="0"/>
              <w:autoSpaceDE/>
              <w:autoSpaceDN/>
              <w:bidi w:val="0"/>
              <w:spacing w:line="400" w:lineRule="exact"/>
              <w:ind w:firstLine="482" w:firstLineChars="200"/>
              <w:textAlignment w:val="auto"/>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评审依据：</w:t>
            </w:r>
          </w:p>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1.多处办公场所地址以工商营业执照上的经营地址为准。</w:t>
            </w:r>
          </w:p>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建筑面积均以房屋产权证载明的对应办公场所面积为准。自有产权是指投标企业或者法定代表人或股东自有，自有产权房屋的以房屋产权证原件评分，同时还须提供工商局出具的股东证明原件。租赁房屋的提供有效期内投标企业与房主签订的租赁合同原件，同时还须提供所租房屋的房屋产权证书复印件。</w:t>
            </w:r>
          </w:p>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3.投标文件中应提供不少于4张办公场所室内彩色照片和1张公司大门位置的彩色照片（照片尺寸：5寸）。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165" w:type="dxa"/>
            <w:vMerge w:val="restart"/>
            <w:shd w:val="clear" w:color="auto" w:fill="auto"/>
            <w:vAlign w:val="center"/>
          </w:tcPr>
          <w:p>
            <w:pPr>
              <w:keepNext w:val="0"/>
              <w:keepLines w:val="0"/>
              <w:pageBreakBefore w:val="0"/>
              <w:kinsoku/>
              <w:wordWrap/>
              <w:overflowPunct/>
              <w:topLinePunct w:val="0"/>
              <w:autoSpaceDE/>
              <w:autoSpaceDN/>
              <w:bidi w:val="0"/>
              <w:spacing w:line="400" w:lineRule="exact"/>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业绩及人员（41分）</w:t>
            </w:r>
          </w:p>
        </w:tc>
        <w:tc>
          <w:tcPr>
            <w:tcW w:w="1275" w:type="dxa"/>
            <w:shd w:val="clear" w:color="auto" w:fill="auto"/>
            <w:vAlign w:val="center"/>
          </w:tcPr>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业绩</w:t>
            </w:r>
          </w:p>
        </w:tc>
        <w:tc>
          <w:tcPr>
            <w:tcW w:w="780" w:type="dxa"/>
            <w:shd w:val="clear" w:color="auto" w:fill="auto"/>
            <w:vAlign w:val="center"/>
          </w:tcPr>
          <w:p>
            <w:pPr>
              <w:keepNext w:val="0"/>
              <w:keepLines w:val="0"/>
              <w:pageBreakBefore w:val="0"/>
              <w:kinsoku/>
              <w:wordWrap/>
              <w:overflowPunct/>
              <w:topLinePunct w:val="0"/>
              <w:autoSpaceDE/>
              <w:autoSpaceDN/>
              <w:bidi w:val="0"/>
              <w:spacing w:line="400" w:lineRule="exact"/>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26分</w:t>
            </w:r>
          </w:p>
        </w:tc>
        <w:tc>
          <w:tcPr>
            <w:tcW w:w="6240" w:type="dxa"/>
            <w:shd w:val="clear" w:color="auto" w:fill="auto"/>
            <w:vAlign w:val="center"/>
          </w:tcPr>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 报名单位提供赣州市范围内2019年1月1日以后完成过100万元以下（不含100万元）货物类或服务类或工程类政府采购代理工作，每提供1个得1分，医院业务加0.2分，本项满分4.8分。</w:t>
            </w:r>
          </w:p>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 报名单位提供赣州市范围内2019年1月1日以后完成过100万元-500万元（不含500万元）货物类或服务类或工程类政府采购代理工作，每提供1个得2.5分，医院业务加0.2分，本项满分10.8分。</w:t>
            </w:r>
          </w:p>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3.报名单位提供赣州市范围内2019年1月1日以后完成过500万元-1000万元（不含1000万元）货物类或服务类或工程类政府采购代理工作，每提供1个得4分，医院业务加0.2分，本项满分4.2分。</w:t>
            </w:r>
          </w:p>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4.报名单位提供赣州市范围内2019年1月1日以后完成过1000万元以上货物类或服务类或工程类政府采购代理工作，每提供1个得6分，医院业务加0.2分，本项满分6.2分。</w:t>
            </w:r>
          </w:p>
          <w:p>
            <w:pPr>
              <w:keepNext w:val="0"/>
              <w:keepLines w:val="0"/>
              <w:pageBreakBefore w:val="0"/>
              <w:kinsoku/>
              <w:wordWrap/>
              <w:overflowPunct/>
              <w:topLinePunct w:val="0"/>
              <w:autoSpaceDE/>
              <w:autoSpaceDN/>
              <w:bidi w:val="0"/>
              <w:spacing w:line="400" w:lineRule="exact"/>
              <w:ind w:firstLine="482" w:firstLineChars="20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评审依据：</w:t>
            </w:r>
          </w:p>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1.所有业绩时间均以成交通知书原件的落款时间为准。</w:t>
            </w:r>
          </w:p>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2.报名单位须提供政府采购招标代理合同、网上查询招标公告及中标结果公告的公示公告，公告内容须能体现招标代理机构名称，及成交通知书复印件。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1" w:hRule="atLeast"/>
        </w:trPr>
        <w:tc>
          <w:tcPr>
            <w:tcW w:w="1165" w:type="dxa"/>
            <w:vMerge w:val="continue"/>
            <w:shd w:val="clear" w:color="auto" w:fill="auto"/>
            <w:vAlign w:val="center"/>
          </w:tcPr>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仿宋" w:hAnsi="仿宋" w:eastAsia="仿宋" w:cs="仿宋"/>
                <w:color w:val="auto"/>
                <w:kern w:val="2"/>
                <w:sz w:val="24"/>
                <w:szCs w:val="24"/>
                <w:lang w:val="en-US" w:eastAsia="zh-CN" w:bidi="ar-SA"/>
              </w:rPr>
            </w:pPr>
          </w:p>
        </w:tc>
        <w:tc>
          <w:tcPr>
            <w:tcW w:w="1275" w:type="dxa"/>
            <w:shd w:val="clear" w:color="auto" w:fill="auto"/>
            <w:vAlign w:val="center"/>
          </w:tcPr>
          <w:p>
            <w:pPr>
              <w:keepNext w:val="0"/>
              <w:keepLines w:val="0"/>
              <w:pageBreakBefore w:val="0"/>
              <w:kinsoku/>
              <w:wordWrap/>
              <w:overflowPunct/>
              <w:topLinePunct w:val="0"/>
              <w:autoSpaceDE/>
              <w:autoSpaceDN/>
              <w:bidi w:val="0"/>
              <w:spacing w:line="400" w:lineRule="exact"/>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专业技术人员</w:t>
            </w:r>
          </w:p>
        </w:tc>
        <w:tc>
          <w:tcPr>
            <w:tcW w:w="780" w:type="dxa"/>
            <w:shd w:val="clear" w:color="auto" w:fill="auto"/>
            <w:vAlign w:val="center"/>
          </w:tcPr>
          <w:p>
            <w:pPr>
              <w:keepNext w:val="0"/>
              <w:keepLines w:val="0"/>
              <w:pageBreakBefore w:val="0"/>
              <w:kinsoku/>
              <w:wordWrap/>
              <w:overflowPunct/>
              <w:topLinePunct w:val="0"/>
              <w:autoSpaceDE/>
              <w:autoSpaceDN/>
              <w:bidi w:val="0"/>
              <w:spacing w:line="400" w:lineRule="exact"/>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15分</w:t>
            </w:r>
          </w:p>
        </w:tc>
        <w:tc>
          <w:tcPr>
            <w:tcW w:w="6240" w:type="dxa"/>
            <w:shd w:val="clear" w:color="auto" w:fill="auto"/>
            <w:vAlign w:val="center"/>
          </w:tcPr>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1.报名单位为本单位项目提供服务的人员中，具有有效期内的政府采购人员培训合格证的，每提供一个得3分；满分15分。</w:t>
            </w:r>
          </w:p>
          <w:p>
            <w:pPr>
              <w:keepNext w:val="0"/>
              <w:keepLines w:val="0"/>
              <w:pageBreakBefore w:val="0"/>
              <w:kinsoku/>
              <w:wordWrap/>
              <w:overflowPunct/>
              <w:topLinePunct w:val="0"/>
              <w:autoSpaceDE/>
              <w:autoSpaceDN/>
              <w:bidi w:val="0"/>
              <w:spacing w:line="400" w:lineRule="exact"/>
              <w:ind w:firstLine="482" w:firstLineChars="20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评分依据:</w:t>
            </w:r>
            <w:r>
              <w:rPr>
                <w:rFonts w:hint="eastAsia" w:ascii="仿宋" w:hAnsi="仿宋" w:eastAsia="仿宋" w:cs="仿宋"/>
                <w:color w:val="auto"/>
                <w:kern w:val="2"/>
                <w:sz w:val="24"/>
                <w:szCs w:val="24"/>
                <w:lang w:val="en-US" w:eastAsia="zh-CN" w:bidi="ar-SA"/>
              </w:rPr>
              <w:t>提供政府采购人员培训合格证书扫描件或影印件（盖有2020年培训专用章或提供盖有2020年培训电子章的扫描件或影印件加盖公章，原件备查），并提供供应商从开标截止时间之日起前连续6个月（7-12月份）为其缴纳社保证明材料原件扫描件加盖公章或与其签订的劳动合同原件扫描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1165" w:type="dxa"/>
            <w:shd w:val="clear" w:color="auto" w:fill="auto"/>
            <w:vAlign w:val="center"/>
          </w:tcPr>
          <w:p>
            <w:pPr>
              <w:keepNext w:val="0"/>
              <w:keepLines w:val="0"/>
              <w:pageBreakBefore w:val="0"/>
              <w:kinsoku/>
              <w:wordWrap/>
              <w:overflowPunct/>
              <w:topLinePunct w:val="0"/>
              <w:autoSpaceDE/>
              <w:autoSpaceDN/>
              <w:bidi w:val="0"/>
              <w:spacing w:line="400" w:lineRule="exact"/>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服务方案及措施（15分）</w:t>
            </w:r>
          </w:p>
        </w:tc>
        <w:tc>
          <w:tcPr>
            <w:tcW w:w="1275" w:type="dxa"/>
            <w:shd w:val="clear" w:color="auto" w:fill="auto"/>
            <w:vAlign w:val="center"/>
          </w:tcPr>
          <w:p>
            <w:pPr>
              <w:keepNext w:val="0"/>
              <w:keepLines w:val="0"/>
              <w:pageBreakBefore w:val="0"/>
              <w:kinsoku/>
              <w:wordWrap/>
              <w:overflowPunct/>
              <w:topLinePunct w:val="0"/>
              <w:autoSpaceDE/>
              <w:autoSpaceDN/>
              <w:bidi w:val="0"/>
              <w:spacing w:line="400" w:lineRule="exact"/>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服务方案及措施</w:t>
            </w:r>
          </w:p>
        </w:tc>
        <w:tc>
          <w:tcPr>
            <w:tcW w:w="780" w:type="dxa"/>
            <w:shd w:val="clear" w:color="auto" w:fill="auto"/>
            <w:vAlign w:val="center"/>
          </w:tcPr>
          <w:p>
            <w:pPr>
              <w:keepNext w:val="0"/>
              <w:keepLines w:val="0"/>
              <w:pageBreakBefore w:val="0"/>
              <w:kinsoku/>
              <w:wordWrap/>
              <w:overflowPunct/>
              <w:topLinePunct w:val="0"/>
              <w:autoSpaceDE/>
              <w:autoSpaceDN/>
              <w:bidi w:val="0"/>
              <w:spacing w:line="400" w:lineRule="exact"/>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15分</w:t>
            </w:r>
          </w:p>
        </w:tc>
        <w:tc>
          <w:tcPr>
            <w:tcW w:w="6240" w:type="dxa"/>
            <w:shd w:val="clear" w:color="auto" w:fill="auto"/>
            <w:vAlign w:val="center"/>
          </w:tcPr>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1.对招标代理工作流程及计划安排进行对比打分，最高得5分，相邻递减1分，最低得1分，不提供不得分。</w:t>
            </w:r>
          </w:p>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2.对招标代理服务质量保证措施进行对比打分，最高得5分，相邻递减1分，最低得1分，不提供不得分。</w:t>
            </w:r>
          </w:p>
          <w:p>
            <w:pPr>
              <w:keepNext w:val="0"/>
              <w:keepLines w:val="0"/>
              <w:pageBreakBefore w:val="0"/>
              <w:kinsoku/>
              <w:wordWrap/>
              <w:overflowPunct/>
              <w:topLinePunct w:val="0"/>
              <w:autoSpaceDE/>
              <w:autoSpaceDN/>
              <w:bidi w:val="0"/>
              <w:spacing w:line="400" w:lineRule="exact"/>
              <w:ind w:firstLine="480" w:firstLineChars="20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3.对招标代理职业道德、廉洁从业措施进行对比打分，最高得5分，相邻递减1分，最低得1分，不提供不得分。</w:t>
            </w:r>
          </w:p>
        </w:tc>
      </w:tr>
    </w:tbl>
    <w:p>
      <w:pPr>
        <w:pStyle w:val="7"/>
        <w:widowControl/>
        <w:adjustRightInd w:val="0"/>
        <w:spacing w:beforeAutospacing="0" w:afterAutospacing="0" w:line="500" w:lineRule="exact"/>
        <w:jc w:val="right"/>
        <w:rPr>
          <w:rFonts w:hint="eastAsia" w:ascii="仿宋" w:hAnsi="仿宋" w:eastAsia="仿宋" w:cs="仿宋"/>
          <w:b w:val="0"/>
          <w:bCs w:val="0"/>
          <w:color w:val="auto"/>
          <w:sz w:val="32"/>
          <w:szCs w:val="32"/>
        </w:rPr>
      </w:pPr>
    </w:p>
    <w:p>
      <w:pPr>
        <w:pStyle w:val="7"/>
        <w:widowControl/>
        <w:adjustRightInd w:val="0"/>
        <w:spacing w:beforeAutospacing="0" w:afterAutospacing="0" w:line="500" w:lineRule="exact"/>
        <w:jc w:val="right"/>
        <w:rPr>
          <w:rFonts w:hint="eastAsia" w:ascii="仿宋" w:hAnsi="仿宋" w:eastAsia="仿宋" w:cs="仿宋"/>
          <w:b w:val="0"/>
          <w:bCs w:val="0"/>
          <w:color w:val="auto"/>
          <w:sz w:val="32"/>
          <w:szCs w:val="32"/>
        </w:rPr>
      </w:pPr>
    </w:p>
    <w:p>
      <w:pPr>
        <w:pStyle w:val="7"/>
        <w:widowControl/>
        <w:adjustRightInd w:val="0"/>
        <w:spacing w:beforeAutospacing="0" w:afterAutospacing="0" w:line="500" w:lineRule="exact"/>
        <w:rPr>
          <w:rFonts w:ascii="仿宋" w:hAnsi="仿宋" w:eastAsia="仿宋" w:cs="仿宋"/>
          <w:color w:val="auto"/>
          <w:sz w:val="31"/>
          <w:szCs w:val="31"/>
        </w:rPr>
      </w:pPr>
    </w:p>
    <w:p>
      <w:pPr>
        <w:rPr>
          <w:color w:val="auto"/>
          <w:sz w:val="21"/>
          <w:szCs w:val="21"/>
        </w:rPr>
      </w:pPr>
    </w:p>
    <w:p>
      <w:pPr>
        <w:pStyle w:val="2"/>
        <w:ind w:left="0" w:leftChars="0" w:right="1470" w:firstLine="0" w:firstLineChars="0"/>
        <w:jc w:val="left"/>
        <w:rPr>
          <w:rFonts w:hint="eastAsia"/>
          <w:b/>
          <w:bCs/>
          <w:color w:val="auto"/>
          <w:sz w:val="28"/>
          <w:szCs w:val="28"/>
          <w:lang w:eastAsia="zh-CN"/>
        </w:rPr>
      </w:pPr>
    </w:p>
    <w:p>
      <w:pPr>
        <w:pStyle w:val="2"/>
        <w:ind w:left="0" w:leftChars="0" w:right="1470" w:firstLine="0" w:firstLineChars="0"/>
        <w:jc w:val="left"/>
        <w:rPr>
          <w:rFonts w:hint="default" w:eastAsia="宋体"/>
          <w:b/>
          <w:bCs/>
          <w:color w:val="auto"/>
          <w:sz w:val="28"/>
          <w:szCs w:val="28"/>
          <w:lang w:val="en-US" w:eastAsia="zh-CN"/>
        </w:rPr>
      </w:pPr>
      <w:r>
        <w:rPr>
          <w:rFonts w:hint="eastAsia"/>
          <w:b/>
          <w:bCs/>
          <w:color w:val="auto"/>
          <w:sz w:val="28"/>
          <w:szCs w:val="28"/>
          <w:lang w:eastAsia="zh-CN"/>
        </w:rPr>
        <w:t>附件</w:t>
      </w:r>
      <w:r>
        <w:rPr>
          <w:rFonts w:hint="eastAsia"/>
          <w:b/>
          <w:bCs/>
          <w:color w:val="auto"/>
          <w:sz w:val="28"/>
          <w:szCs w:val="28"/>
          <w:lang w:val="en-US" w:eastAsia="zh-CN"/>
        </w:rPr>
        <w:t>2</w:t>
      </w:r>
    </w:p>
    <w:p>
      <w:pPr>
        <w:pStyle w:val="2"/>
        <w:ind w:left="1470" w:right="1470"/>
        <w:jc w:val="center"/>
        <w:rPr>
          <w:b/>
          <w:bCs/>
          <w:color w:val="auto"/>
          <w:sz w:val="28"/>
          <w:szCs w:val="28"/>
        </w:rPr>
      </w:pPr>
      <w:bookmarkStart w:id="0" w:name="_GoBack"/>
      <w:r>
        <w:rPr>
          <w:rFonts w:hint="eastAsia"/>
          <w:b/>
          <w:bCs/>
          <w:color w:val="auto"/>
          <w:sz w:val="28"/>
          <w:szCs w:val="28"/>
        </w:rPr>
        <w:t>招标代理及造价咨询评分细则</w:t>
      </w:r>
    </w:p>
    <w:bookmarkEnd w:id="0"/>
    <w:tbl>
      <w:tblPr>
        <w:tblStyle w:val="8"/>
        <w:tblpPr w:leftFromText="180" w:rightFromText="180" w:vertAnchor="page" w:horzAnchor="page" w:tblpXSpec="center" w:tblpY="14279"/>
        <w:tblW w:w="92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1215"/>
        <w:gridCol w:w="1035"/>
        <w:gridCol w:w="5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3" w:hRule="atLeast"/>
          <w:jc w:val="center"/>
        </w:trPr>
        <w:tc>
          <w:tcPr>
            <w:tcW w:w="1105" w:type="dxa"/>
            <w:shd w:val="clear" w:color="auto" w:fill="auto"/>
            <w:vAlign w:val="center"/>
          </w:tcPr>
          <w:p>
            <w:pPr>
              <w:keepNext w:val="0"/>
              <w:keepLines w:val="0"/>
              <w:pageBreakBefore w:val="0"/>
              <w:tabs>
                <w:tab w:val="left" w:pos="0"/>
              </w:tabs>
              <w:kinsoku/>
              <w:wordWrap/>
              <w:overflowPunct/>
              <w:topLinePunct w:val="0"/>
              <w:autoSpaceDE/>
              <w:autoSpaceDN/>
              <w:bidi w:val="0"/>
              <w:spacing w:line="400" w:lineRule="exac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项目</w:t>
            </w:r>
          </w:p>
        </w:tc>
        <w:tc>
          <w:tcPr>
            <w:tcW w:w="1215" w:type="dxa"/>
            <w:shd w:val="clear" w:color="auto" w:fill="auto"/>
            <w:vAlign w:val="center"/>
          </w:tcPr>
          <w:p>
            <w:pPr>
              <w:keepNext w:val="0"/>
              <w:keepLines w:val="0"/>
              <w:pageBreakBefore w:val="0"/>
              <w:tabs>
                <w:tab w:val="left" w:pos="0"/>
              </w:tabs>
              <w:kinsoku/>
              <w:wordWrap/>
              <w:overflowPunct/>
              <w:topLinePunct w:val="0"/>
              <w:autoSpaceDE/>
              <w:autoSpaceDN/>
              <w:bidi w:val="0"/>
              <w:spacing w:line="400" w:lineRule="exac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分项内容</w:t>
            </w:r>
          </w:p>
        </w:tc>
        <w:tc>
          <w:tcPr>
            <w:tcW w:w="1035" w:type="dxa"/>
            <w:shd w:val="clear" w:color="auto" w:fill="auto"/>
            <w:noWrap/>
            <w:vAlign w:val="center"/>
          </w:tcPr>
          <w:p>
            <w:pPr>
              <w:keepNext w:val="0"/>
              <w:keepLines w:val="0"/>
              <w:pageBreakBefore w:val="0"/>
              <w:tabs>
                <w:tab w:val="left" w:pos="0"/>
              </w:tabs>
              <w:kinsoku/>
              <w:wordWrap/>
              <w:overflowPunct/>
              <w:topLinePunct w:val="0"/>
              <w:autoSpaceDE/>
              <w:autoSpaceDN/>
              <w:bidi w:val="0"/>
              <w:spacing w:line="400" w:lineRule="exac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分值</w:t>
            </w:r>
          </w:p>
        </w:tc>
        <w:tc>
          <w:tcPr>
            <w:tcW w:w="5935" w:type="dxa"/>
            <w:shd w:val="clear" w:color="auto" w:fill="auto"/>
            <w:noWrap/>
            <w:vAlign w:val="center"/>
          </w:tcPr>
          <w:p>
            <w:pPr>
              <w:keepNext w:val="0"/>
              <w:keepLines w:val="0"/>
              <w:pageBreakBefore w:val="0"/>
              <w:tabs>
                <w:tab w:val="left" w:pos="0"/>
              </w:tabs>
              <w:kinsoku/>
              <w:wordWrap/>
              <w:overflowPunct/>
              <w:topLinePunct w:val="0"/>
              <w:autoSpaceDE/>
              <w:autoSpaceDN/>
              <w:bidi w:val="0"/>
              <w:spacing w:line="400" w:lineRule="exac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105" w:type="dxa"/>
            <w:shd w:val="clear" w:color="auto" w:fill="auto"/>
            <w:vAlign w:val="center"/>
          </w:tcPr>
          <w:p>
            <w:pPr>
              <w:keepNext w:val="0"/>
              <w:keepLines w:val="0"/>
              <w:pageBreakBefore w:val="0"/>
              <w:tabs>
                <w:tab w:val="left" w:pos="0"/>
              </w:tabs>
              <w:kinsoku/>
              <w:wordWrap/>
              <w:overflowPunct/>
              <w:topLinePunct w:val="0"/>
              <w:autoSpaceDE/>
              <w:autoSpaceDN/>
              <w:bidi w:val="0"/>
              <w:spacing w:line="400" w:lineRule="exac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符合性审查</w:t>
            </w:r>
          </w:p>
        </w:tc>
        <w:tc>
          <w:tcPr>
            <w:tcW w:w="1215" w:type="dxa"/>
            <w:shd w:val="clear" w:color="auto" w:fill="auto"/>
            <w:vAlign w:val="center"/>
          </w:tcPr>
          <w:p>
            <w:pPr>
              <w:keepNext w:val="0"/>
              <w:keepLines w:val="0"/>
              <w:pageBreakBefore w:val="0"/>
              <w:tabs>
                <w:tab w:val="left" w:pos="0"/>
              </w:tabs>
              <w:kinsoku/>
              <w:wordWrap/>
              <w:overflowPunct/>
              <w:topLinePunct w:val="0"/>
              <w:autoSpaceDE/>
              <w:autoSpaceDN/>
              <w:bidi w:val="0"/>
              <w:spacing w:line="400" w:lineRule="exac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资格</w:t>
            </w:r>
          </w:p>
        </w:tc>
        <w:tc>
          <w:tcPr>
            <w:tcW w:w="1035" w:type="dxa"/>
            <w:shd w:val="clear" w:color="auto" w:fill="auto"/>
            <w:noWrap/>
            <w:vAlign w:val="center"/>
          </w:tcPr>
          <w:p>
            <w:pPr>
              <w:keepNext w:val="0"/>
              <w:keepLines w:val="0"/>
              <w:pageBreakBefore w:val="0"/>
              <w:tabs>
                <w:tab w:val="left" w:pos="0"/>
              </w:tabs>
              <w:kinsoku/>
              <w:wordWrap/>
              <w:overflowPunct/>
              <w:topLinePunct w:val="0"/>
              <w:autoSpaceDE/>
              <w:autoSpaceDN/>
              <w:bidi w:val="0"/>
              <w:spacing w:line="400" w:lineRule="exac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35.4</w:t>
            </w:r>
            <w:r>
              <w:rPr>
                <w:rFonts w:hint="eastAsia" w:ascii="仿宋" w:hAnsi="仿宋" w:eastAsia="仿宋" w:cs="仿宋"/>
                <w:color w:val="auto"/>
                <w:sz w:val="24"/>
                <w:szCs w:val="24"/>
                <w:lang w:eastAsia="zh-CN"/>
              </w:rPr>
              <w:t>分</w:t>
            </w:r>
          </w:p>
        </w:tc>
        <w:tc>
          <w:tcPr>
            <w:tcW w:w="5935" w:type="dxa"/>
            <w:shd w:val="clear" w:color="auto" w:fill="auto"/>
            <w:noWrap/>
            <w:vAlign w:val="center"/>
          </w:tcPr>
          <w:p>
            <w:pPr>
              <w:keepNext w:val="0"/>
              <w:keepLines w:val="0"/>
              <w:pageBreakBefore w:val="0"/>
              <w:tabs>
                <w:tab w:val="left" w:pos="0"/>
              </w:tabs>
              <w:kinsoku/>
              <w:wordWrap/>
              <w:overflowPunct/>
              <w:topLinePunct w:val="0"/>
              <w:autoSpaceDE/>
              <w:autoSpaceDN/>
              <w:bidi w:val="0"/>
              <w:spacing w:line="400" w:lineRule="exac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满足报名资格要求的得</w:t>
            </w:r>
            <w:r>
              <w:rPr>
                <w:rFonts w:hint="eastAsia" w:ascii="仿宋" w:hAnsi="仿宋" w:eastAsia="仿宋" w:cs="仿宋"/>
                <w:color w:val="auto"/>
                <w:sz w:val="24"/>
                <w:szCs w:val="24"/>
                <w:lang w:val="en-US" w:eastAsia="zh-CN"/>
              </w:rPr>
              <w:t>35.4</w:t>
            </w:r>
            <w:r>
              <w:rPr>
                <w:rFonts w:hint="eastAsia" w:ascii="仿宋" w:hAnsi="仿宋" w:eastAsia="仿宋" w:cs="仿宋"/>
                <w:color w:val="auto"/>
                <w:sz w:val="24"/>
                <w:szCs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105" w:type="dxa"/>
            <w:shd w:val="clear" w:color="auto" w:fill="auto"/>
            <w:textDirection w:val="tbLrV"/>
            <w:vAlign w:val="center"/>
          </w:tcPr>
          <w:p>
            <w:pPr>
              <w:keepNext w:val="0"/>
              <w:keepLines w:val="0"/>
              <w:pageBreakBefore w:val="0"/>
              <w:tabs>
                <w:tab w:val="left" w:pos="0"/>
              </w:tabs>
              <w:kinsoku/>
              <w:wordWrap/>
              <w:overflowPunct/>
              <w:topLinePunct w:val="0"/>
              <w:autoSpaceDE/>
              <w:autoSpaceDN/>
              <w:bidi w:val="0"/>
              <w:spacing w:line="400" w:lineRule="exact"/>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办公场所</w:t>
            </w:r>
          </w:p>
        </w:tc>
        <w:tc>
          <w:tcPr>
            <w:tcW w:w="1215" w:type="dxa"/>
            <w:shd w:val="clear" w:color="auto" w:fill="auto"/>
            <w:textDirection w:val="tbLrV"/>
            <w:vAlign w:val="center"/>
          </w:tcPr>
          <w:p>
            <w:pPr>
              <w:keepNext w:val="0"/>
              <w:keepLines w:val="0"/>
              <w:pageBreakBefore w:val="0"/>
              <w:tabs>
                <w:tab w:val="left" w:pos="0"/>
              </w:tabs>
              <w:kinsoku/>
              <w:wordWrap/>
              <w:overflowPunct/>
              <w:topLinePunct w:val="0"/>
              <w:autoSpaceDE/>
              <w:autoSpaceDN/>
              <w:bidi w:val="0"/>
              <w:spacing w:line="400" w:lineRule="exact"/>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服务保障</w:t>
            </w:r>
          </w:p>
        </w:tc>
        <w:tc>
          <w:tcPr>
            <w:tcW w:w="1035" w:type="dxa"/>
            <w:shd w:val="clear" w:color="auto" w:fill="auto"/>
            <w:noWrap/>
            <w:vAlign w:val="center"/>
          </w:tcPr>
          <w:p>
            <w:pPr>
              <w:keepNext w:val="0"/>
              <w:keepLines w:val="0"/>
              <w:pageBreakBefore w:val="0"/>
              <w:tabs>
                <w:tab w:val="left" w:pos="0"/>
              </w:tabs>
              <w:kinsoku/>
              <w:wordWrap/>
              <w:overflowPunct/>
              <w:topLinePunct w:val="0"/>
              <w:autoSpaceDE/>
              <w:autoSpaceDN/>
              <w:bidi w:val="0"/>
              <w:spacing w:line="400" w:lineRule="exac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9分</w:t>
            </w:r>
          </w:p>
        </w:tc>
        <w:tc>
          <w:tcPr>
            <w:tcW w:w="5935" w:type="dxa"/>
            <w:shd w:val="clear" w:color="auto" w:fill="auto"/>
            <w:noWrap/>
            <w:vAlign w:val="center"/>
          </w:tcPr>
          <w:p>
            <w:pPr>
              <w:keepNext w:val="0"/>
              <w:keepLines w:val="0"/>
              <w:pageBreakBefore w:val="0"/>
              <w:tabs>
                <w:tab w:val="left" w:pos="0"/>
              </w:tabs>
              <w:kinsoku/>
              <w:wordWrap/>
              <w:overflowPunct/>
              <w:topLinePunct w:val="0"/>
              <w:autoSpaceDE/>
              <w:autoSpaceDN/>
              <w:bidi w:val="0"/>
              <w:spacing w:line="400" w:lineRule="exact"/>
              <w:ind w:firstLine="240" w:firstLineChars="1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在赣州市中心城区范围（章贡区、赣州市经济开发区）内有固定办公场所（并具备开标、评标室</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录像设备），办公场所面积</w:t>
            </w:r>
            <w:r>
              <w:rPr>
                <w:rFonts w:hint="eastAsia" w:ascii="仿宋" w:hAnsi="仿宋" w:eastAsia="仿宋" w:cs="仿宋"/>
                <w:color w:val="auto"/>
                <w:sz w:val="24"/>
                <w:szCs w:val="24"/>
                <w:lang w:val="en-US" w:eastAsia="zh-CN"/>
              </w:rPr>
              <w:t>150</w:t>
            </w:r>
            <w:r>
              <w:rPr>
                <w:rFonts w:hint="eastAsia" w:ascii="仿宋" w:hAnsi="仿宋" w:eastAsia="仿宋" w:cs="仿宋"/>
                <w:color w:val="auto"/>
                <w:sz w:val="24"/>
                <w:szCs w:val="24"/>
                <w:lang w:eastAsia="zh-CN"/>
              </w:rPr>
              <w:t>（含）</w:t>
            </w:r>
            <w:r>
              <w:rPr>
                <w:rFonts w:hint="eastAsia" w:ascii="仿宋" w:hAnsi="仿宋" w:eastAsia="仿宋" w:cs="仿宋"/>
                <w:color w:val="auto"/>
                <w:sz w:val="24"/>
                <w:szCs w:val="24"/>
                <w:lang w:val="en-US" w:eastAsia="zh-CN"/>
              </w:rPr>
              <w:t>平方米以下得3分，150</w:t>
            </w:r>
            <w:r>
              <w:rPr>
                <w:rFonts w:hint="eastAsia" w:ascii="仿宋" w:hAnsi="仿宋" w:eastAsia="仿宋" w:cs="仿宋"/>
                <w:color w:val="auto"/>
                <w:sz w:val="24"/>
                <w:szCs w:val="24"/>
                <w:lang w:eastAsia="zh-CN"/>
              </w:rPr>
              <w:t>（不含）-</w:t>
            </w:r>
            <w:r>
              <w:rPr>
                <w:rFonts w:hint="eastAsia" w:ascii="仿宋" w:hAnsi="仿宋" w:eastAsia="仿宋" w:cs="仿宋"/>
                <w:color w:val="auto"/>
                <w:sz w:val="24"/>
                <w:szCs w:val="24"/>
                <w:lang w:val="en-US" w:eastAsia="zh-CN"/>
              </w:rPr>
              <w:t>30</w:t>
            </w:r>
            <w:r>
              <w:rPr>
                <w:rFonts w:hint="eastAsia" w:ascii="仿宋" w:hAnsi="仿宋" w:eastAsia="仿宋" w:cs="仿宋"/>
                <w:color w:val="auto"/>
                <w:sz w:val="24"/>
                <w:szCs w:val="24"/>
                <w:lang w:eastAsia="zh-CN"/>
              </w:rPr>
              <w:t>0（含）平米得</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eastAsia="zh-CN"/>
              </w:rPr>
              <w:t>分，</w:t>
            </w:r>
            <w:r>
              <w:rPr>
                <w:rFonts w:hint="eastAsia" w:ascii="仿宋" w:hAnsi="仿宋" w:eastAsia="仿宋" w:cs="仿宋"/>
                <w:color w:val="auto"/>
                <w:sz w:val="24"/>
                <w:szCs w:val="24"/>
                <w:lang w:val="en-US" w:eastAsia="zh-CN"/>
              </w:rPr>
              <w:t>300</w:t>
            </w:r>
            <w:r>
              <w:rPr>
                <w:rFonts w:hint="eastAsia" w:ascii="仿宋" w:hAnsi="仿宋" w:eastAsia="仿宋" w:cs="仿宋"/>
                <w:color w:val="auto"/>
                <w:sz w:val="24"/>
                <w:szCs w:val="24"/>
                <w:lang w:eastAsia="zh-CN"/>
              </w:rPr>
              <w:t>平米以上的得</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lang w:eastAsia="zh-CN"/>
              </w:rPr>
              <w:t>分。</w:t>
            </w:r>
          </w:p>
          <w:p>
            <w:pPr>
              <w:keepNext w:val="0"/>
              <w:keepLines w:val="0"/>
              <w:pageBreakBefore w:val="0"/>
              <w:tabs>
                <w:tab w:val="left" w:pos="0"/>
              </w:tabs>
              <w:kinsoku/>
              <w:wordWrap/>
              <w:overflowPunct/>
              <w:topLinePunct w:val="0"/>
              <w:autoSpaceDE/>
              <w:autoSpaceDN/>
              <w:bidi w:val="0"/>
              <w:spacing w:line="400" w:lineRule="exact"/>
              <w:ind w:firstLine="240" w:firstLineChars="1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上述办公场所提供多处的，只以一处场所计分，不得多处累加，在同一栋建筑物内的办公场所属于单处办公场所。</w:t>
            </w:r>
          </w:p>
          <w:p>
            <w:pPr>
              <w:keepNext w:val="0"/>
              <w:keepLines w:val="0"/>
              <w:pageBreakBefore w:val="0"/>
              <w:tabs>
                <w:tab w:val="left" w:pos="0"/>
              </w:tabs>
              <w:kinsoku/>
              <w:wordWrap/>
              <w:overflowPunct/>
              <w:topLinePunct w:val="0"/>
              <w:autoSpaceDE/>
              <w:autoSpaceDN/>
              <w:bidi w:val="0"/>
              <w:spacing w:line="400" w:lineRule="exact"/>
              <w:textAlignment w:val="auto"/>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评审依据：</w:t>
            </w:r>
          </w:p>
          <w:p>
            <w:pPr>
              <w:keepNext w:val="0"/>
              <w:keepLines w:val="0"/>
              <w:pageBreakBefore w:val="0"/>
              <w:tabs>
                <w:tab w:val="left" w:pos="0"/>
              </w:tabs>
              <w:kinsoku/>
              <w:wordWrap/>
              <w:overflowPunct/>
              <w:topLinePunct w:val="0"/>
              <w:autoSpaceDE/>
              <w:autoSpaceDN/>
              <w:bidi w:val="0"/>
              <w:spacing w:line="400" w:lineRule="exact"/>
              <w:ind w:firstLine="240" w:firstLineChars="1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1. 多处办公场所地址以工商营业执照上的经营地址为准。</w:t>
            </w:r>
          </w:p>
          <w:p>
            <w:pPr>
              <w:keepNext w:val="0"/>
              <w:keepLines w:val="0"/>
              <w:pageBreakBefore w:val="0"/>
              <w:tabs>
                <w:tab w:val="left" w:pos="0"/>
              </w:tabs>
              <w:kinsoku/>
              <w:wordWrap/>
              <w:overflowPunct/>
              <w:topLinePunct w:val="0"/>
              <w:autoSpaceDE/>
              <w:autoSpaceDN/>
              <w:bidi w:val="0"/>
              <w:spacing w:line="400" w:lineRule="exact"/>
              <w:ind w:firstLine="240" w:firstLineChars="1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2. 建筑面积均以房屋产权证载明的对应办公场所面积为准。自有产权是指投标企业或者法定代表人或股东自有，自有产权房屋的以房屋产权证原件评分，同时还须提供工商局出具的股东证明原件。租赁房屋的提供有效期内投标企业与房主签订的租赁合同原件，同时还须提供所租房屋的房屋产权证书复印件。</w:t>
            </w:r>
          </w:p>
          <w:p>
            <w:pPr>
              <w:keepNext w:val="0"/>
              <w:keepLines w:val="0"/>
              <w:pageBreakBefore w:val="0"/>
              <w:tabs>
                <w:tab w:val="left" w:pos="0"/>
              </w:tabs>
              <w:kinsoku/>
              <w:wordWrap/>
              <w:overflowPunct/>
              <w:topLinePunct w:val="0"/>
              <w:autoSpaceDE/>
              <w:autoSpaceDN/>
              <w:bidi w:val="0"/>
              <w:spacing w:line="400" w:lineRule="exact"/>
              <w:ind w:firstLine="240" w:firstLineChars="1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3.投标文件中应提供不少于4张办公场所室内彩色照片和1张公司大门位置的彩色照片（照片尺寸：5寸）。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105" w:type="dxa"/>
            <w:vMerge w:val="restart"/>
            <w:shd w:val="clear" w:color="auto" w:fill="auto"/>
            <w:vAlign w:val="center"/>
          </w:tcPr>
          <w:p>
            <w:pPr>
              <w:keepNext w:val="0"/>
              <w:keepLines w:val="0"/>
              <w:pageBreakBefore w:val="0"/>
              <w:tabs>
                <w:tab w:val="left" w:pos="0"/>
              </w:tabs>
              <w:kinsoku/>
              <w:wordWrap/>
              <w:overflowPunct/>
              <w:topLinePunct w:val="0"/>
              <w:autoSpaceDE/>
              <w:autoSpaceDN/>
              <w:bidi w:val="0"/>
              <w:spacing w:line="400" w:lineRule="exact"/>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业绩及人员（</w:t>
            </w:r>
            <w:r>
              <w:rPr>
                <w:rFonts w:hint="eastAsia" w:ascii="仿宋" w:hAnsi="仿宋" w:eastAsia="仿宋" w:cs="仿宋"/>
                <w:color w:val="auto"/>
                <w:sz w:val="24"/>
                <w:szCs w:val="24"/>
                <w:lang w:val="en-US" w:eastAsia="zh-CN"/>
              </w:rPr>
              <w:t>40.6</w:t>
            </w:r>
            <w:r>
              <w:rPr>
                <w:rFonts w:hint="eastAsia" w:ascii="仿宋" w:hAnsi="仿宋" w:eastAsia="仿宋" w:cs="仿宋"/>
                <w:color w:val="auto"/>
                <w:sz w:val="24"/>
                <w:szCs w:val="24"/>
                <w:lang w:eastAsia="zh-CN"/>
              </w:rPr>
              <w:t>分）</w:t>
            </w:r>
          </w:p>
        </w:tc>
        <w:tc>
          <w:tcPr>
            <w:tcW w:w="1215" w:type="dxa"/>
            <w:shd w:val="clear" w:color="auto" w:fill="auto"/>
            <w:vAlign w:val="center"/>
          </w:tcPr>
          <w:p>
            <w:pPr>
              <w:keepNext w:val="0"/>
              <w:keepLines w:val="0"/>
              <w:pageBreakBefore w:val="0"/>
              <w:tabs>
                <w:tab w:val="left" w:pos="0"/>
              </w:tabs>
              <w:kinsoku/>
              <w:wordWrap/>
              <w:overflowPunct/>
              <w:topLinePunct w:val="0"/>
              <w:autoSpaceDE/>
              <w:autoSpaceDN/>
              <w:bidi w:val="0"/>
              <w:spacing w:line="400" w:lineRule="exact"/>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业绩</w:t>
            </w:r>
          </w:p>
        </w:tc>
        <w:tc>
          <w:tcPr>
            <w:tcW w:w="1035" w:type="dxa"/>
            <w:shd w:val="clear" w:color="auto" w:fill="auto"/>
            <w:vAlign w:val="center"/>
          </w:tcPr>
          <w:p>
            <w:pPr>
              <w:keepNext w:val="0"/>
              <w:keepLines w:val="0"/>
              <w:pageBreakBefore w:val="0"/>
              <w:tabs>
                <w:tab w:val="left" w:pos="0"/>
              </w:tabs>
              <w:kinsoku/>
              <w:wordWrap/>
              <w:overflowPunct/>
              <w:topLinePunct w:val="0"/>
              <w:autoSpaceDE/>
              <w:autoSpaceDN/>
              <w:bidi w:val="0"/>
              <w:spacing w:line="400" w:lineRule="exact"/>
              <w:textAlignment w:val="auto"/>
              <w:rPr>
                <w:rFonts w:hint="eastAsia" w:ascii="仿宋" w:hAnsi="仿宋" w:eastAsia="仿宋" w:cs="仿宋"/>
                <w:color w:val="auto"/>
                <w:sz w:val="24"/>
                <w:szCs w:val="24"/>
                <w:lang w:eastAsia="zh-CN"/>
              </w:rPr>
            </w:pPr>
          </w:p>
          <w:p>
            <w:pPr>
              <w:keepNext w:val="0"/>
              <w:keepLines w:val="0"/>
              <w:pageBreakBefore w:val="0"/>
              <w:tabs>
                <w:tab w:val="left" w:pos="0"/>
              </w:tabs>
              <w:kinsoku/>
              <w:wordWrap/>
              <w:overflowPunct/>
              <w:topLinePunct w:val="0"/>
              <w:autoSpaceDE/>
              <w:autoSpaceDN/>
              <w:bidi w:val="0"/>
              <w:spacing w:line="400" w:lineRule="exact"/>
              <w:textAlignment w:val="auto"/>
              <w:rPr>
                <w:rFonts w:hint="eastAsia" w:ascii="仿宋" w:hAnsi="仿宋" w:eastAsia="仿宋" w:cs="仿宋"/>
                <w:color w:val="auto"/>
                <w:sz w:val="24"/>
                <w:szCs w:val="24"/>
                <w:lang w:eastAsia="zh-CN"/>
              </w:rPr>
            </w:pPr>
          </w:p>
          <w:p>
            <w:pPr>
              <w:keepNext w:val="0"/>
              <w:keepLines w:val="0"/>
              <w:pageBreakBefore w:val="0"/>
              <w:tabs>
                <w:tab w:val="left" w:pos="0"/>
              </w:tabs>
              <w:kinsoku/>
              <w:wordWrap/>
              <w:overflowPunct/>
              <w:topLinePunct w:val="0"/>
              <w:autoSpaceDE/>
              <w:autoSpaceDN/>
              <w:bidi w:val="0"/>
              <w:spacing w:line="400" w:lineRule="exact"/>
              <w:textAlignment w:val="auto"/>
              <w:rPr>
                <w:rFonts w:hint="eastAsia" w:ascii="仿宋" w:hAnsi="仿宋" w:eastAsia="仿宋" w:cs="仿宋"/>
                <w:color w:val="auto"/>
                <w:sz w:val="24"/>
                <w:szCs w:val="24"/>
                <w:lang w:eastAsia="zh-CN"/>
              </w:rPr>
            </w:pPr>
          </w:p>
          <w:p>
            <w:pPr>
              <w:keepNext w:val="0"/>
              <w:keepLines w:val="0"/>
              <w:pageBreakBefore w:val="0"/>
              <w:tabs>
                <w:tab w:val="left" w:pos="0"/>
              </w:tabs>
              <w:kinsoku/>
              <w:wordWrap/>
              <w:overflowPunct/>
              <w:topLinePunct w:val="0"/>
              <w:autoSpaceDE/>
              <w:autoSpaceDN/>
              <w:bidi w:val="0"/>
              <w:spacing w:line="400" w:lineRule="exact"/>
              <w:textAlignment w:val="auto"/>
              <w:rPr>
                <w:rFonts w:hint="eastAsia" w:ascii="仿宋" w:hAnsi="仿宋" w:eastAsia="仿宋" w:cs="仿宋"/>
                <w:color w:val="auto"/>
                <w:sz w:val="24"/>
                <w:szCs w:val="24"/>
                <w:lang w:eastAsia="zh-CN"/>
              </w:rPr>
            </w:pPr>
          </w:p>
          <w:p>
            <w:pPr>
              <w:keepNext w:val="0"/>
              <w:keepLines w:val="0"/>
              <w:pageBreakBefore w:val="0"/>
              <w:tabs>
                <w:tab w:val="left" w:pos="0"/>
              </w:tabs>
              <w:kinsoku/>
              <w:wordWrap/>
              <w:overflowPunct/>
              <w:topLinePunct w:val="0"/>
              <w:autoSpaceDE/>
              <w:autoSpaceDN/>
              <w:bidi w:val="0"/>
              <w:spacing w:line="400" w:lineRule="exac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25</w:t>
            </w:r>
            <w:r>
              <w:rPr>
                <w:rFonts w:hint="eastAsia" w:ascii="仿宋" w:hAnsi="仿宋" w:eastAsia="仿宋" w:cs="仿宋"/>
                <w:color w:val="auto"/>
                <w:sz w:val="24"/>
                <w:szCs w:val="24"/>
                <w:lang w:eastAsia="zh-CN"/>
              </w:rPr>
              <w:t>.6分</w:t>
            </w:r>
          </w:p>
          <w:p>
            <w:pPr>
              <w:keepNext w:val="0"/>
              <w:keepLines w:val="0"/>
              <w:pageBreakBefore w:val="0"/>
              <w:tabs>
                <w:tab w:val="left" w:pos="0"/>
              </w:tabs>
              <w:kinsoku/>
              <w:wordWrap/>
              <w:overflowPunct/>
              <w:topLinePunct w:val="0"/>
              <w:autoSpaceDE/>
              <w:autoSpaceDN/>
              <w:bidi w:val="0"/>
              <w:spacing w:line="400" w:lineRule="exact"/>
              <w:textAlignment w:val="auto"/>
              <w:rPr>
                <w:rFonts w:hint="eastAsia" w:ascii="仿宋" w:hAnsi="仿宋" w:eastAsia="仿宋" w:cs="仿宋"/>
                <w:color w:val="auto"/>
                <w:sz w:val="24"/>
                <w:szCs w:val="24"/>
                <w:lang w:eastAsia="zh-CN"/>
              </w:rPr>
            </w:pPr>
          </w:p>
          <w:p>
            <w:pPr>
              <w:keepNext w:val="0"/>
              <w:keepLines w:val="0"/>
              <w:pageBreakBefore w:val="0"/>
              <w:tabs>
                <w:tab w:val="left" w:pos="0"/>
              </w:tabs>
              <w:kinsoku/>
              <w:wordWrap/>
              <w:overflowPunct/>
              <w:topLinePunct w:val="0"/>
              <w:autoSpaceDE/>
              <w:autoSpaceDN/>
              <w:bidi w:val="0"/>
              <w:spacing w:line="400" w:lineRule="exact"/>
              <w:textAlignment w:val="auto"/>
              <w:rPr>
                <w:rFonts w:hint="eastAsia" w:ascii="仿宋" w:hAnsi="仿宋" w:eastAsia="仿宋" w:cs="仿宋"/>
                <w:color w:val="auto"/>
                <w:sz w:val="24"/>
                <w:szCs w:val="24"/>
                <w:lang w:eastAsia="zh-CN"/>
              </w:rPr>
            </w:pPr>
          </w:p>
          <w:p>
            <w:pPr>
              <w:keepNext w:val="0"/>
              <w:keepLines w:val="0"/>
              <w:pageBreakBefore w:val="0"/>
              <w:tabs>
                <w:tab w:val="left" w:pos="0"/>
              </w:tabs>
              <w:kinsoku/>
              <w:wordWrap/>
              <w:overflowPunct/>
              <w:topLinePunct w:val="0"/>
              <w:autoSpaceDE/>
              <w:autoSpaceDN/>
              <w:bidi w:val="0"/>
              <w:spacing w:line="400" w:lineRule="exact"/>
              <w:textAlignment w:val="auto"/>
              <w:rPr>
                <w:rFonts w:hint="eastAsia" w:ascii="仿宋" w:hAnsi="仿宋" w:eastAsia="仿宋" w:cs="仿宋"/>
                <w:color w:val="auto"/>
                <w:sz w:val="24"/>
                <w:szCs w:val="24"/>
                <w:lang w:eastAsia="zh-CN"/>
              </w:rPr>
            </w:pPr>
          </w:p>
          <w:p>
            <w:pPr>
              <w:keepNext w:val="0"/>
              <w:keepLines w:val="0"/>
              <w:pageBreakBefore w:val="0"/>
              <w:tabs>
                <w:tab w:val="left" w:pos="0"/>
              </w:tabs>
              <w:kinsoku/>
              <w:wordWrap/>
              <w:overflowPunct/>
              <w:topLinePunct w:val="0"/>
              <w:autoSpaceDE/>
              <w:autoSpaceDN/>
              <w:bidi w:val="0"/>
              <w:spacing w:line="400" w:lineRule="exact"/>
              <w:textAlignment w:val="auto"/>
              <w:rPr>
                <w:rFonts w:hint="eastAsia" w:ascii="仿宋" w:hAnsi="仿宋" w:eastAsia="仿宋" w:cs="仿宋"/>
                <w:color w:val="auto"/>
                <w:sz w:val="24"/>
                <w:szCs w:val="24"/>
                <w:lang w:eastAsia="zh-CN"/>
              </w:rPr>
            </w:pPr>
          </w:p>
          <w:p>
            <w:pPr>
              <w:keepNext w:val="0"/>
              <w:keepLines w:val="0"/>
              <w:pageBreakBefore w:val="0"/>
              <w:tabs>
                <w:tab w:val="left" w:pos="0"/>
              </w:tabs>
              <w:kinsoku/>
              <w:wordWrap/>
              <w:overflowPunct/>
              <w:topLinePunct w:val="0"/>
              <w:autoSpaceDE/>
              <w:autoSpaceDN/>
              <w:bidi w:val="0"/>
              <w:spacing w:line="400" w:lineRule="exact"/>
              <w:textAlignment w:val="auto"/>
              <w:rPr>
                <w:rFonts w:hint="eastAsia" w:ascii="仿宋" w:hAnsi="仿宋" w:eastAsia="仿宋" w:cs="仿宋"/>
                <w:color w:val="auto"/>
                <w:sz w:val="24"/>
                <w:szCs w:val="24"/>
                <w:lang w:eastAsia="zh-CN"/>
              </w:rPr>
            </w:pPr>
          </w:p>
          <w:p>
            <w:pPr>
              <w:keepNext w:val="0"/>
              <w:keepLines w:val="0"/>
              <w:pageBreakBefore w:val="0"/>
              <w:tabs>
                <w:tab w:val="left" w:pos="0"/>
              </w:tabs>
              <w:kinsoku/>
              <w:wordWrap/>
              <w:overflowPunct/>
              <w:topLinePunct w:val="0"/>
              <w:autoSpaceDE/>
              <w:autoSpaceDN/>
              <w:bidi w:val="0"/>
              <w:spacing w:line="400" w:lineRule="exact"/>
              <w:textAlignment w:val="auto"/>
              <w:rPr>
                <w:rFonts w:hint="eastAsia" w:ascii="仿宋" w:hAnsi="仿宋" w:eastAsia="仿宋" w:cs="仿宋"/>
                <w:color w:val="auto"/>
                <w:sz w:val="24"/>
                <w:szCs w:val="24"/>
                <w:lang w:eastAsia="zh-CN"/>
              </w:rPr>
            </w:pPr>
          </w:p>
          <w:p>
            <w:pPr>
              <w:keepNext w:val="0"/>
              <w:keepLines w:val="0"/>
              <w:pageBreakBefore w:val="0"/>
              <w:tabs>
                <w:tab w:val="left" w:pos="0"/>
              </w:tabs>
              <w:kinsoku/>
              <w:wordWrap/>
              <w:overflowPunct/>
              <w:topLinePunct w:val="0"/>
              <w:autoSpaceDE/>
              <w:autoSpaceDN/>
              <w:bidi w:val="0"/>
              <w:spacing w:line="400" w:lineRule="exact"/>
              <w:textAlignment w:val="auto"/>
              <w:rPr>
                <w:rFonts w:hint="eastAsia" w:ascii="仿宋" w:hAnsi="仿宋" w:eastAsia="仿宋" w:cs="仿宋"/>
                <w:color w:val="auto"/>
                <w:sz w:val="24"/>
                <w:szCs w:val="24"/>
                <w:lang w:eastAsia="zh-CN"/>
              </w:rPr>
            </w:pPr>
          </w:p>
          <w:p>
            <w:pPr>
              <w:keepNext w:val="0"/>
              <w:keepLines w:val="0"/>
              <w:pageBreakBefore w:val="0"/>
              <w:tabs>
                <w:tab w:val="left" w:pos="0"/>
              </w:tabs>
              <w:kinsoku/>
              <w:wordWrap/>
              <w:overflowPunct/>
              <w:topLinePunct w:val="0"/>
              <w:autoSpaceDE/>
              <w:autoSpaceDN/>
              <w:bidi w:val="0"/>
              <w:spacing w:line="400" w:lineRule="exact"/>
              <w:textAlignment w:val="auto"/>
              <w:rPr>
                <w:rFonts w:hint="eastAsia" w:ascii="仿宋" w:hAnsi="仿宋" w:eastAsia="仿宋" w:cs="仿宋"/>
                <w:color w:val="auto"/>
                <w:sz w:val="24"/>
                <w:szCs w:val="24"/>
                <w:lang w:eastAsia="zh-CN"/>
              </w:rPr>
            </w:pPr>
          </w:p>
          <w:p>
            <w:pPr>
              <w:keepNext w:val="0"/>
              <w:keepLines w:val="0"/>
              <w:pageBreakBefore w:val="0"/>
              <w:tabs>
                <w:tab w:val="left" w:pos="0"/>
              </w:tabs>
              <w:kinsoku/>
              <w:wordWrap/>
              <w:overflowPunct/>
              <w:topLinePunct w:val="0"/>
              <w:autoSpaceDE/>
              <w:autoSpaceDN/>
              <w:bidi w:val="0"/>
              <w:spacing w:line="400" w:lineRule="exact"/>
              <w:textAlignment w:val="auto"/>
              <w:rPr>
                <w:rFonts w:hint="eastAsia" w:ascii="仿宋" w:hAnsi="仿宋" w:eastAsia="仿宋" w:cs="仿宋"/>
                <w:color w:val="auto"/>
                <w:sz w:val="24"/>
                <w:szCs w:val="24"/>
                <w:lang w:eastAsia="zh-CN"/>
              </w:rPr>
            </w:pPr>
          </w:p>
        </w:tc>
        <w:tc>
          <w:tcPr>
            <w:tcW w:w="5935" w:type="dxa"/>
            <w:shd w:val="clear" w:color="auto" w:fill="auto"/>
            <w:vAlign w:val="center"/>
          </w:tcPr>
          <w:p>
            <w:pPr>
              <w:keepNext w:val="0"/>
              <w:keepLines w:val="0"/>
              <w:pageBreakBefore w:val="0"/>
              <w:tabs>
                <w:tab w:val="left" w:pos="0"/>
              </w:tabs>
              <w:kinsoku/>
              <w:wordWrap/>
              <w:overflowPunct/>
              <w:topLinePunct w:val="0"/>
              <w:autoSpaceDE/>
              <w:autoSpaceDN/>
              <w:bidi w:val="0"/>
              <w:spacing w:line="400" w:lineRule="exact"/>
              <w:ind w:firstLine="240" w:firstLineChars="1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一、预算编制业绩</w:t>
            </w:r>
            <w:r>
              <w:rPr>
                <w:rFonts w:hint="eastAsia" w:ascii="仿宋" w:hAnsi="仿宋" w:eastAsia="仿宋" w:cs="仿宋"/>
                <w:color w:val="auto"/>
                <w:sz w:val="24"/>
                <w:szCs w:val="24"/>
                <w:lang w:val="en-US" w:eastAsia="zh-CN"/>
              </w:rPr>
              <w:t>16</w:t>
            </w:r>
            <w:r>
              <w:rPr>
                <w:rFonts w:hint="eastAsia" w:ascii="仿宋" w:hAnsi="仿宋" w:eastAsia="仿宋" w:cs="仿宋"/>
                <w:color w:val="auto"/>
                <w:sz w:val="24"/>
                <w:szCs w:val="24"/>
                <w:lang w:eastAsia="zh-CN"/>
              </w:rPr>
              <w:t>分：报名单位提供赣州市范围内201</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lang w:eastAsia="zh-CN"/>
              </w:rPr>
              <w:t>年1月1日以来内完成过单项工程造价1000万元及以上的工程建设项目预算（或招标控制价）编制业绩，以签订造价咨询合同或包含预算编制内容的招标代理合同时间为准。每提供1个得3分、医院业务加0.2分，最多得</w:t>
            </w:r>
            <w:r>
              <w:rPr>
                <w:rFonts w:hint="eastAsia" w:ascii="仿宋" w:hAnsi="仿宋" w:eastAsia="仿宋" w:cs="仿宋"/>
                <w:color w:val="auto"/>
                <w:sz w:val="24"/>
                <w:szCs w:val="24"/>
                <w:lang w:val="en-US" w:eastAsia="zh-CN"/>
              </w:rPr>
              <w:t>16</w:t>
            </w:r>
            <w:r>
              <w:rPr>
                <w:rFonts w:hint="eastAsia" w:ascii="仿宋" w:hAnsi="仿宋" w:eastAsia="仿宋" w:cs="仿宋"/>
                <w:color w:val="auto"/>
                <w:sz w:val="24"/>
                <w:szCs w:val="24"/>
                <w:lang w:eastAsia="zh-CN"/>
              </w:rPr>
              <w:t>分</w:t>
            </w:r>
          </w:p>
          <w:p>
            <w:pPr>
              <w:keepNext w:val="0"/>
              <w:keepLines w:val="0"/>
              <w:pageBreakBefore w:val="0"/>
              <w:tabs>
                <w:tab w:val="left" w:pos="0"/>
              </w:tabs>
              <w:kinsoku/>
              <w:wordWrap/>
              <w:overflowPunct/>
              <w:topLinePunct w:val="0"/>
              <w:autoSpaceDE/>
              <w:autoSpaceDN/>
              <w:bidi w:val="0"/>
              <w:spacing w:line="400" w:lineRule="exact"/>
              <w:ind w:firstLine="241" w:firstLineChars="100"/>
              <w:textAlignment w:val="auto"/>
              <w:rPr>
                <w:rFonts w:hint="eastAsia" w:ascii="仿宋" w:hAnsi="仿宋" w:eastAsia="仿宋" w:cs="仿宋"/>
                <w:color w:val="auto"/>
                <w:sz w:val="24"/>
                <w:szCs w:val="24"/>
                <w:lang w:eastAsia="zh-CN"/>
              </w:rPr>
            </w:pPr>
            <w:r>
              <w:rPr>
                <w:rFonts w:hint="eastAsia" w:ascii="仿宋" w:hAnsi="仿宋" w:eastAsia="仿宋" w:cs="仿宋"/>
                <w:b/>
                <w:bCs/>
                <w:color w:val="auto"/>
                <w:sz w:val="24"/>
                <w:szCs w:val="24"/>
                <w:lang w:eastAsia="zh-CN"/>
              </w:rPr>
              <w:t>评审依据必须同时提供以下材料</w:t>
            </w:r>
            <w:r>
              <w:rPr>
                <w:rFonts w:hint="eastAsia" w:ascii="仿宋" w:hAnsi="仿宋" w:eastAsia="仿宋" w:cs="仿宋"/>
                <w:color w:val="auto"/>
                <w:sz w:val="24"/>
                <w:szCs w:val="24"/>
                <w:lang w:eastAsia="zh-CN"/>
              </w:rPr>
              <w:t>：</w:t>
            </w:r>
          </w:p>
          <w:p>
            <w:pPr>
              <w:keepNext w:val="0"/>
              <w:keepLines w:val="0"/>
              <w:pageBreakBefore w:val="0"/>
              <w:tabs>
                <w:tab w:val="left" w:pos="0"/>
              </w:tabs>
              <w:kinsoku/>
              <w:wordWrap/>
              <w:overflowPunct/>
              <w:topLinePunct w:val="0"/>
              <w:autoSpaceDE/>
              <w:autoSpaceDN/>
              <w:bidi w:val="0"/>
              <w:spacing w:line="400" w:lineRule="exact"/>
              <w:ind w:firstLine="240" w:firstLineChars="1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1.造价咨询合同或包含预算编制内容的招标代理合同；</w:t>
            </w:r>
          </w:p>
          <w:p>
            <w:pPr>
              <w:keepNext w:val="0"/>
              <w:keepLines w:val="0"/>
              <w:pageBreakBefore w:val="0"/>
              <w:tabs>
                <w:tab w:val="left" w:pos="0"/>
              </w:tabs>
              <w:kinsoku/>
              <w:wordWrap/>
              <w:overflowPunct/>
              <w:topLinePunct w:val="0"/>
              <w:autoSpaceDE/>
              <w:autoSpaceDN/>
              <w:bidi w:val="0"/>
              <w:spacing w:line="400" w:lineRule="exact"/>
              <w:ind w:firstLine="240" w:firstLineChars="1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2.预算（或招标控制价）的审核报告（或批复）或加盖业主公章的预算书封面；业绩文件若不能反映时间和金额，需提供项目委托人盖章的能证明时间和金额的材料。</w:t>
            </w:r>
          </w:p>
          <w:p>
            <w:pPr>
              <w:keepNext w:val="0"/>
              <w:keepLines w:val="0"/>
              <w:pageBreakBefore w:val="0"/>
              <w:tabs>
                <w:tab w:val="left" w:pos="0"/>
              </w:tabs>
              <w:kinsoku/>
              <w:wordWrap/>
              <w:overflowPunct/>
              <w:topLinePunct w:val="0"/>
              <w:autoSpaceDE/>
              <w:autoSpaceDN/>
              <w:bidi w:val="0"/>
              <w:spacing w:line="400" w:lineRule="exact"/>
              <w:ind w:firstLine="240" w:firstLineChars="1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以上所有证明材料均提供复印件并加盖公章</w:t>
            </w:r>
          </w:p>
          <w:p>
            <w:pPr>
              <w:keepNext w:val="0"/>
              <w:keepLines w:val="0"/>
              <w:pageBreakBefore w:val="0"/>
              <w:tabs>
                <w:tab w:val="left" w:pos="0"/>
              </w:tabs>
              <w:kinsoku/>
              <w:wordWrap/>
              <w:overflowPunct/>
              <w:topLinePunct w:val="0"/>
              <w:autoSpaceDE/>
              <w:autoSpaceDN/>
              <w:bidi w:val="0"/>
              <w:spacing w:line="400" w:lineRule="exact"/>
              <w:ind w:firstLine="240" w:firstLineChars="1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二、招标代理业绩</w:t>
            </w:r>
            <w:r>
              <w:rPr>
                <w:rFonts w:hint="eastAsia" w:ascii="仿宋" w:hAnsi="仿宋" w:eastAsia="仿宋" w:cs="仿宋"/>
                <w:color w:val="auto"/>
                <w:sz w:val="24"/>
                <w:szCs w:val="24"/>
                <w:lang w:val="en-US" w:eastAsia="zh-CN"/>
              </w:rPr>
              <w:t>9.6</w:t>
            </w:r>
            <w:r>
              <w:rPr>
                <w:rFonts w:hint="eastAsia" w:ascii="仿宋" w:hAnsi="仿宋" w:eastAsia="仿宋" w:cs="仿宋"/>
                <w:color w:val="auto"/>
                <w:sz w:val="24"/>
                <w:szCs w:val="24"/>
                <w:lang w:eastAsia="zh-CN"/>
              </w:rPr>
              <w:t>分：</w:t>
            </w:r>
          </w:p>
          <w:p>
            <w:pPr>
              <w:keepNext w:val="0"/>
              <w:keepLines w:val="0"/>
              <w:pageBreakBefore w:val="0"/>
              <w:tabs>
                <w:tab w:val="left" w:pos="0"/>
              </w:tabs>
              <w:kinsoku/>
              <w:wordWrap/>
              <w:overflowPunct/>
              <w:topLinePunct w:val="0"/>
              <w:autoSpaceDE/>
              <w:autoSpaceDN/>
              <w:bidi w:val="0"/>
              <w:spacing w:line="400" w:lineRule="exact"/>
              <w:ind w:firstLine="240" w:firstLineChars="1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报名单位提供赣州市范围内201</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lang w:eastAsia="zh-CN"/>
              </w:rPr>
              <w:t>年1月1日以来完成过单个工程金额在</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000万元（含）以上的工程建设项目招标工作，每提供1个得</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eastAsia="zh-CN"/>
              </w:rPr>
              <w:t>分、医院业务加0.2分，最多得</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lang w:eastAsia="zh-CN"/>
              </w:rPr>
              <w:t>.6分。</w:t>
            </w:r>
          </w:p>
          <w:p>
            <w:pPr>
              <w:keepNext w:val="0"/>
              <w:keepLines w:val="0"/>
              <w:pageBreakBefore w:val="0"/>
              <w:tabs>
                <w:tab w:val="left" w:pos="0"/>
              </w:tabs>
              <w:kinsoku/>
              <w:wordWrap/>
              <w:overflowPunct/>
              <w:topLinePunct w:val="0"/>
              <w:autoSpaceDE/>
              <w:autoSpaceDN/>
              <w:bidi w:val="0"/>
              <w:spacing w:line="400" w:lineRule="exact"/>
              <w:ind w:firstLine="241" w:firstLineChars="100"/>
              <w:textAlignment w:val="auto"/>
              <w:rPr>
                <w:rFonts w:hint="eastAsia" w:ascii="仿宋" w:hAnsi="仿宋" w:eastAsia="仿宋" w:cs="仿宋"/>
                <w:color w:val="auto"/>
                <w:sz w:val="24"/>
                <w:szCs w:val="24"/>
                <w:lang w:eastAsia="zh-CN"/>
              </w:rPr>
            </w:pPr>
            <w:r>
              <w:rPr>
                <w:rFonts w:hint="eastAsia" w:ascii="仿宋" w:hAnsi="仿宋" w:eastAsia="仿宋" w:cs="仿宋"/>
                <w:b/>
                <w:bCs/>
                <w:color w:val="auto"/>
                <w:sz w:val="24"/>
                <w:szCs w:val="24"/>
                <w:lang w:eastAsia="zh-CN"/>
              </w:rPr>
              <w:t>评审依据：</w:t>
            </w:r>
            <w:r>
              <w:rPr>
                <w:rFonts w:hint="eastAsia" w:ascii="仿宋" w:hAnsi="仿宋" w:eastAsia="仿宋" w:cs="仿宋"/>
                <w:color w:val="auto"/>
                <w:sz w:val="24"/>
                <w:szCs w:val="24"/>
                <w:lang w:eastAsia="zh-CN"/>
              </w:rPr>
              <w:t>报名单位须提供招标代理合同、网上招标公告及中标公示及中标通知书复印件业绩文件若不能反映时间和金额，需提供项目委托人盖章的能证明时间和金额的材料。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jc w:val="center"/>
        </w:trPr>
        <w:tc>
          <w:tcPr>
            <w:tcW w:w="1105" w:type="dxa"/>
            <w:vMerge w:val="continue"/>
            <w:shd w:val="clear" w:color="auto" w:fill="auto"/>
            <w:vAlign w:val="center"/>
          </w:tcPr>
          <w:p>
            <w:pPr>
              <w:keepNext w:val="0"/>
              <w:keepLines w:val="0"/>
              <w:pageBreakBefore w:val="0"/>
              <w:tabs>
                <w:tab w:val="left" w:pos="0"/>
              </w:tabs>
              <w:kinsoku/>
              <w:wordWrap/>
              <w:overflowPunct/>
              <w:topLinePunct w:val="0"/>
              <w:autoSpaceDE/>
              <w:autoSpaceDN/>
              <w:bidi w:val="0"/>
              <w:spacing w:line="400" w:lineRule="exact"/>
              <w:textAlignment w:val="auto"/>
              <w:rPr>
                <w:rFonts w:hint="eastAsia" w:ascii="仿宋" w:hAnsi="仿宋" w:eastAsia="仿宋" w:cs="仿宋"/>
                <w:color w:val="auto"/>
                <w:sz w:val="24"/>
                <w:szCs w:val="24"/>
                <w:lang w:eastAsia="zh-CN"/>
              </w:rPr>
            </w:pPr>
          </w:p>
        </w:tc>
        <w:tc>
          <w:tcPr>
            <w:tcW w:w="1215" w:type="dxa"/>
            <w:shd w:val="clear" w:color="auto" w:fill="auto"/>
            <w:vAlign w:val="center"/>
          </w:tcPr>
          <w:p>
            <w:pPr>
              <w:keepNext w:val="0"/>
              <w:keepLines w:val="0"/>
              <w:pageBreakBefore w:val="0"/>
              <w:tabs>
                <w:tab w:val="left" w:pos="0"/>
              </w:tabs>
              <w:kinsoku/>
              <w:wordWrap/>
              <w:overflowPunct/>
              <w:topLinePunct w:val="0"/>
              <w:autoSpaceDE/>
              <w:autoSpaceDN/>
              <w:bidi w:val="0"/>
              <w:spacing w:line="400" w:lineRule="exac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专业技术人员</w:t>
            </w:r>
          </w:p>
        </w:tc>
        <w:tc>
          <w:tcPr>
            <w:tcW w:w="1035" w:type="dxa"/>
            <w:shd w:val="clear" w:color="auto" w:fill="auto"/>
            <w:vAlign w:val="center"/>
          </w:tcPr>
          <w:p>
            <w:pPr>
              <w:keepNext w:val="0"/>
              <w:keepLines w:val="0"/>
              <w:pageBreakBefore w:val="0"/>
              <w:tabs>
                <w:tab w:val="left" w:pos="0"/>
              </w:tabs>
              <w:kinsoku/>
              <w:wordWrap/>
              <w:overflowPunct/>
              <w:topLinePunct w:val="0"/>
              <w:autoSpaceDE/>
              <w:autoSpaceDN/>
              <w:bidi w:val="0"/>
              <w:spacing w:line="400" w:lineRule="exac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lang w:eastAsia="zh-CN"/>
              </w:rPr>
              <w:t>分</w:t>
            </w:r>
          </w:p>
        </w:tc>
        <w:tc>
          <w:tcPr>
            <w:tcW w:w="5935" w:type="dxa"/>
            <w:shd w:val="clear" w:color="auto" w:fill="auto"/>
            <w:vAlign w:val="center"/>
          </w:tcPr>
          <w:p>
            <w:pPr>
              <w:keepNext w:val="0"/>
              <w:keepLines w:val="0"/>
              <w:pageBreakBefore w:val="0"/>
              <w:tabs>
                <w:tab w:val="left" w:pos="0"/>
              </w:tabs>
              <w:kinsoku/>
              <w:wordWrap/>
              <w:overflowPunct/>
              <w:topLinePunct w:val="0"/>
              <w:autoSpaceDE/>
              <w:autoSpaceDN/>
              <w:bidi w:val="0"/>
              <w:spacing w:line="400" w:lineRule="exact"/>
              <w:ind w:firstLine="240" w:firstLineChars="1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报名单位为本单位项目提供服务的人员中，具有有效期内的工程造价员证的，每提供一个得</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分；满分1</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lang w:eastAsia="zh-CN"/>
              </w:rPr>
              <w:t>分。</w:t>
            </w:r>
          </w:p>
          <w:p>
            <w:pPr>
              <w:keepNext w:val="0"/>
              <w:keepLines w:val="0"/>
              <w:pageBreakBefore w:val="0"/>
              <w:tabs>
                <w:tab w:val="left" w:pos="0"/>
              </w:tabs>
              <w:kinsoku/>
              <w:wordWrap/>
              <w:overflowPunct/>
              <w:topLinePunct w:val="0"/>
              <w:autoSpaceDE/>
              <w:autoSpaceDN/>
              <w:bidi w:val="0"/>
              <w:spacing w:line="400" w:lineRule="exact"/>
              <w:ind w:firstLine="240" w:firstLineChars="100"/>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报名单位为本单位项目提供服务的人员中，具有有工程造价专业毕业证的，每提供一个得</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分；满分</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lang w:eastAsia="zh-CN"/>
              </w:rPr>
              <w:t>分。</w:t>
            </w:r>
          </w:p>
          <w:p>
            <w:pPr>
              <w:keepNext w:val="0"/>
              <w:keepLines w:val="0"/>
              <w:pageBreakBefore w:val="0"/>
              <w:tabs>
                <w:tab w:val="left" w:pos="0"/>
              </w:tabs>
              <w:kinsoku/>
              <w:wordWrap/>
              <w:overflowPunct/>
              <w:topLinePunct w:val="0"/>
              <w:autoSpaceDE/>
              <w:autoSpaceDN/>
              <w:bidi w:val="0"/>
              <w:spacing w:line="400" w:lineRule="exact"/>
              <w:ind w:firstLine="241" w:firstLineChars="100"/>
              <w:textAlignment w:val="auto"/>
              <w:rPr>
                <w:rFonts w:hint="eastAsia" w:ascii="仿宋" w:hAnsi="仿宋" w:eastAsia="仿宋" w:cs="仿宋"/>
                <w:color w:val="auto"/>
                <w:sz w:val="24"/>
                <w:szCs w:val="24"/>
                <w:lang w:eastAsia="zh-CN"/>
              </w:rPr>
            </w:pPr>
            <w:r>
              <w:rPr>
                <w:rFonts w:hint="eastAsia" w:ascii="仿宋" w:hAnsi="仿宋" w:eastAsia="仿宋" w:cs="仿宋"/>
                <w:b/>
                <w:bCs/>
                <w:color w:val="auto"/>
                <w:sz w:val="24"/>
                <w:szCs w:val="24"/>
                <w:lang w:eastAsia="zh-CN"/>
              </w:rPr>
              <w:t>评审依据：</w:t>
            </w:r>
            <w:r>
              <w:rPr>
                <w:rFonts w:hint="eastAsia" w:ascii="仿宋" w:hAnsi="仿宋" w:eastAsia="仿宋" w:cs="仿宋"/>
                <w:color w:val="auto"/>
                <w:sz w:val="24"/>
                <w:szCs w:val="24"/>
                <w:lang w:eastAsia="zh-CN"/>
              </w:rPr>
              <w:t>报名文件中须提供上述人员工程造价员证复印件，毕业证书复印件，以上所有证明材料均提供复印件并加盖公章，否则不予计分。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jc w:val="center"/>
        </w:trPr>
        <w:tc>
          <w:tcPr>
            <w:tcW w:w="1105" w:type="dxa"/>
            <w:shd w:val="clear" w:color="auto" w:fill="auto"/>
            <w:vAlign w:val="center"/>
          </w:tcPr>
          <w:p>
            <w:pPr>
              <w:keepNext w:val="0"/>
              <w:keepLines w:val="0"/>
              <w:pageBreakBefore w:val="0"/>
              <w:tabs>
                <w:tab w:val="left" w:pos="0"/>
              </w:tabs>
              <w:kinsoku/>
              <w:wordWrap/>
              <w:overflowPunct/>
              <w:topLinePunct w:val="0"/>
              <w:autoSpaceDE/>
              <w:autoSpaceDN/>
              <w:bidi w:val="0"/>
              <w:spacing w:line="400" w:lineRule="exac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服务方案及措施（</w:t>
            </w:r>
            <w:r>
              <w:rPr>
                <w:rFonts w:hint="eastAsia" w:ascii="仿宋" w:hAnsi="仿宋" w:eastAsia="仿宋" w:cs="仿宋"/>
                <w:color w:val="auto"/>
                <w:sz w:val="24"/>
                <w:szCs w:val="24"/>
                <w:lang w:val="en-US" w:eastAsia="zh-CN"/>
              </w:rPr>
              <w:t>15</w:t>
            </w:r>
            <w:r>
              <w:rPr>
                <w:rFonts w:hint="eastAsia" w:ascii="仿宋" w:hAnsi="仿宋" w:eastAsia="仿宋" w:cs="仿宋"/>
                <w:color w:val="auto"/>
                <w:sz w:val="24"/>
                <w:szCs w:val="24"/>
                <w:lang w:eastAsia="zh-CN"/>
              </w:rPr>
              <w:t>分）</w:t>
            </w:r>
          </w:p>
        </w:tc>
        <w:tc>
          <w:tcPr>
            <w:tcW w:w="1215" w:type="dxa"/>
            <w:shd w:val="clear" w:color="auto" w:fill="auto"/>
            <w:vAlign w:val="center"/>
          </w:tcPr>
          <w:p>
            <w:pPr>
              <w:keepNext w:val="0"/>
              <w:keepLines w:val="0"/>
              <w:pageBreakBefore w:val="0"/>
              <w:tabs>
                <w:tab w:val="left" w:pos="0"/>
              </w:tabs>
              <w:kinsoku/>
              <w:wordWrap/>
              <w:overflowPunct/>
              <w:topLinePunct w:val="0"/>
              <w:autoSpaceDE/>
              <w:autoSpaceDN/>
              <w:bidi w:val="0"/>
              <w:spacing w:line="400" w:lineRule="exac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服务方案及措施</w:t>
            </w:r>
          </w:p>
        </w:tc>
        <w:tc>
          <w:tcPr>
            <w:tcW w:w="1035" w:type="dxa"/>
            <w:shd w:val="clear" w:color="auto" w:fill="auto"/>
            <w:vAlign w:val="center"/>
          </w:tcPr>
          <w:p>
            <w:pPr>
              <w:keepNext w:val="0"/>
              <w:keepLines w:val="0"/>
              <w:pageBreakBefore w:val="0"/>
              <w:tabs>
                <w:tab w:val="left" w:pos="0"/>
              </w:tabs>
              <w:kinsoku/>
              <w:wordWrap/>
              <w:overflowPunct/>
              <w:topLinePunct w:val="0"/>
              <w:autoSpaceDE/>
              <w:autoSpaceDN/>
              <w:bidi w:val="0"/>
              <w:spacing w:line="400" w:lineRule="exac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15</w:t>
            </w:r>
            <w:r>
              <w:rPr>
                <w:rFonts w:hint="eastAsia" w:ascii="仿宋" w:hAnsi="仿宋" w:eastAsia="仿宋" w:cs="仿宋"/>
                <w:color w:val="auto"/>
                <w:sz w:val="24"/>
                <w:szCs w:val="24"/>
                <w:lang w:eastAsia="zh-CN"/>
              </w:rPr>
              <w:t>分</w:t>
            </w:r>
          </w:p>
        </w:tc>
        <w:tc>
          <w:tcPr>
            <w:tcW w:w="5935" w:type="dxa"/>
            <w:shd w:val="clear" w:color="auto" w:fill="auto"/>
            <w:vAlign w:val="center"/>
          </w:tcPr>
          <w:p>
            <w:pPr>
              <w:keepNext w:val="0"/>
              <w:keepLines w:val="0"/>
              <w:pageBreakBefore w:val="0"/>
              <w:tabs>
                <w:tab w:val="left" w:pos="0"/>
              </w:tabs>
              <w:kinsoku/>
              <w:wordWrap/>
              <w:overflowPunct/>
              <w:topLinePunct w:val="0"/>
              <w:autoSpaceDE/>
              <w:autoSpaceDN/>
              <w:bidi w:val="0"/>
              <w:spacing w:line="400" w:lineRule="exact"/>
              <w:ind w:firstLine="240" w:firstLineChars="1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1</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对招标代理工作流程及计划安排进行对比打分，最高得5分，相邻递减1分，最低得1分，不提供不得分。</w:t>
            </w:r>
          </w:p>
          <w:p>
            <w:pPr>
              <w:keepNext w:val="0"/>
              <w:keepLines w:val="0"/>
              <w:pageBreakBefore w:val="0"/>
              <w:tabs>
                <w:tab w:val="left" w:pos="0"/>
              </w:tabs>
              <w:kinsoku/>
              <w:wordWrap/>
              <w:overflowPunct/>
              <w:topLinePunct w:val="0"/>
              <w:autoSpaceDE/>
              <w:autoSpaceDN/>
              <w:bidi w:val="0"/>
              <w:spacing w:line="400" w:lineRule="exact"/>
              <w:ind w:firstLine="240" w:firstLineChars="1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2</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对招标代理服务质量保证措施进行对比打分，最高得5分，相邻递减1分，最低得1分，不提供不得分。</w:t>
            </w:r>
          </w:p>
          <w:p>
            <w:pPr>
              <w:keepNext w:val="0"/>
              <w:keepLines w:val="0"/>
              <w:pageBreakBefore w:val="0"/>
              <w:tabs>
                <w:tab w:val="left" w:pos="0"/>
              </w:tabs>
              <w:kinsoku/>
              <w:wordWrap/>
              <w:overflowPunct/>
              <w:topLinePunct w:val="0"/>
              <w:autoSpaceDE/>
              <w:autoSpaceDN/>
              <w:bidi w:val="0"/>
              <w:spacing w:line="400" w:lineRule="exact"/>
              <w:ind w:firstLine="240" w:firstLineChars="1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3</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lang w:eastAsia="zh-CN"/>
              </w:rPr>
              <w:t>对招标代理职业道德、廉洁从业措施进行对比打分，最高得5分，相邻递减1分，最低得1分，不提供不得分。</w:t>
            </w:r>
          </w:p>
        </w:tc>
      </w:tr>
    </w:tbl>
    <w:p>
      <w:pPr>
        <w:pStyle w:val="7"/>
        <w:widowControl/>
        <w:adjustRightInd w:val="0"/>
        <w:spacing w:beforeAutospacing="0" w:afterAutospacing="0" w:line="500" w:lineRule="exact"/>
        <w:rPr>
          <w:rFonts w:ascii="仿宋" w:hAnsi="仿宋" w:eastAsia="仿宋" w:cs="仿宋"/>
          <w:b/>
          <w:color w:val="auto"/>
          <w:sz w:val="31"/>
          <w:szCs w:val="31"/>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922"/>
    <w:rsid w:val="0000577B"/>
    <w:rsid w:val="00013E39"/>
    <w:rsid w:val="0001595C"/>
    <w:rsid w:val="00024A2C"/>
    <w:rsid w:val="00025BC0"/>
    <w:rsid w:val="00044BE5"/>
    <w:rsid w:val="00046499"/>
    <w:rsid w:val="0005571C"/>
    <w:rsid w:val="0005669C"/>
    <w:rsid w:val="00077CE0"/>
    <w:rsid w:val="000929BD"/>
    <w:rsid w:val="0009498F"/>
    <w:rsid w:val="000A134F"/>
    <w:rsid w:val="000A163C"/>
    <w:rsid w:val="000A38EC"/>
    <w:rsid w:val="000C200A"/>
    <w:rsid w:val="000C4931"/>
    <w:rsid w:val="001137C7"/>
    <w:rsid w:val="001321D2"/>
    <w:rsid w:val="001350FD"/>
    <w:rsid w:val="001374A8"/>
    <w:rsid w:val="0014067C"/>
    <w:rsid w:val="001418FC"/>
    <w:rsid w:val="00153064"/>
    <w:rsid w:val="00163AC6"/>
    <w:rsid w:val="0019203B"/>
    <w:rsid w:val="001923FC"/>
    <w:rsid w:val="001A125F"/>
    <w:rsid w:val="001B09C6"/>
    <w:rsid w:val="001B26E8"/>
    <w:rsid w:val="001C140B"/>
    <w:rsid w:val="001E0DEA"/>
    <w:rsid w:val="001E62B8"/>
    <w:rsid w:val="001E7CC4"/>
    <w:rsid w:val="00216A48"/>
    <w:rsid w:val="00216BA1"/>
    <w:rsid w:val="00216C49"/>
    <w:rsid w:val="002300A8"/>
    <w:rsid w:val="002550BB"/>
    <w:rsid w:val="002725FB"/>
    <w:rsid w:val="00273C2F"/>
    <w:rsid w:val="00277F00"/>
    <w:rsid w:val="00281E21"/>
    <w:rsid w:val="00287035"/>
    <w:rsid w:val="00291136"/>
    <w:rsid w:val="002A5139"/>
    <w:rsid w:val="002A6E71"/>
    <w:rsid w:val="002A7B37"/>
    <w:rsid w:val="002C4E20"/>
    <w:rsid w:val="002D1229"/>
    <w:rsid w:val="002D2850"/>
    <w:rsid w:val="002D2FA6"/>
    <w:rsid w:val="002F3BA5"/>
    <w:rsid w:val="003064C3"/>
    <w:rsid w:val="00307868"/>
    <w:rsid w:val="0031136F"/>
    <w:rsid w:val="0031303C"/>
    <w:rsid w:val="0032022B"/>
    <w:rsid w:val="003211AB"/>
    <w:rsid w:val="003214C7"/>
    <w:rsid w:val="00322459"/>
    <w:rsid w:val="0032275C"/>
    <w:rsid w:val="003446D0"/>
    <w:rsid w:val="003460BC"/>
    <w:rsid w:val="00350340"/>
    <w:rsid w:val="00357BA2"/>
    <w:rsid w:val="003A1594"/>
    <w:rsid w:val="003A22A3"/>
    <w:rsid w:val="003B77A7"/>
    <w:rsid w:val="003C0201"/>
    <w:rsid w:val="003D25E3"/>
    <w:rsid w:val="003D47E4"/>
    <w:rsid w:val="003D520F"/>
    <w:rsid w:val="003D73CC"/>
    <w:rsid w:val="0040714E"/>
    <w:rsid w:val="00421768"/>
    <w:rsid w:val="00422749"/>
    <w:rsid w:val="00442358"/>
    <w:rsid w:val="00445A9D"/>
    <w:rsid w:val="00464C99"/>
    <w:rsid w:val="00477BF3"/>
    <w:rsid w:val="0048476A"/>
    <w:rsid w:val="00493EE9"/>
    <w:rsid w:val="004B0B5B"/>
    <w:rsid w:val="004C00EA"/>
    <w:rsid w:val="004D5FA7"/>
    <w:rsid w:val="004D72E4"/>
    <w:rsid w:val="004F026B"/>
    <w:rsid w:val="004F64B6"/>
    <w:rsid w:val="0050245C"/>
    <w:rsid w:val="00503065"/>
    <w:rsid w:val="00506486"/>
    <w:rsid w:val="00511AA6"/>
    <w:rsid w:val="005136B4"/>
    <w:rsid w:val="00520F7B"/>
    <w:rsid w:val="005369E0"/>
    <w:rsid w:val="00537F76"/>
    <w:rsid w:val="00551DA1"/>
    <w:rsid w:val="00551F15"/>
    <w:rsid w:val="00553EC8"/>
    <w:rsid w:val="005545C0"/>
    <w:rsid w:val="005A08F5"/>
    <w:rsid w:val="005A440F"/>
    <w:rsid w:val="005B1C37"/>
    <w:rsid w:val="005C3EE6"/>
    <w:rsid w:val="005D76A2"/>
    <w:rsid w:val="005E7648"/>
    <w:rsid w:val="005F5F7F"/>
    <w:rsid w:val="00616E09"/>
    <w:rsid w:val="00635D47"/>
    <w:rsid w:val="00642F15"/>
    <w:rsid w:val="0064469D"/>
    <w:rsid w:val="00647433"/>
    <w:rsid w:val="00651685"/>
    <w:rsid w:val="00660E5E"/>
    <w:rsid w:val="00666171"/>
    <w:rsid w:val="00667C95"/>
    <w:rsid w:val="00676BA5"/>
    <w:rsid w:val="0068295A"/>
    <w:rsid w:val="00691E35"/>
    <w:rsid w:val="00697623"/>
    <w:rsid w:val="006A6099"/>
    <w:rsid w:val="006B7ADC"/>
    <w:rsid w:val="006C0362"/>
    <w:rsid w:val="006C0496"/>
    <w:rsid w:val="006C0B0F"/>
    <w:rsid w:val="006C2F71"/>
    <w:rsid w:val="006D3E26"/>
    <w:rsid w:val="006E4430"/>
    <w:rsid w:val="006F0980"/>
    <w:rsid w:val="00710301"/>
    <w:rsid w:val="00713C77"/>
    <w:rsid w:val="00717B01"/>
    <w:rsid w:val="00732EBD"/>
    <w:rsid w:val="00743175"/>
    <w:rsid w:val="007461D9"/>
    <w:rsid w:val="00751300"/>
    <w:rsid w:val="00752C0F"/>
    <w:rsid w:val="007637F8"/>
    <w:rsid w:val="00777B0C"/>
    <w:rsid w:val="00783DA7"/>
    <w:rsid w:val="00785501"/>
    <w:rsid w:val="00791140"/>
    <w:rsid w:val="007A3665"/>
    <w:rsid w:val="007C0FFD"/>
    <w:rsid w:val="007C5AE8"/>
    <w:rsid w:val="007D2787"/>
    <w:rsid w:val="007D4BA4"/>
    <w:rsid w:val="007E0D41"/>
    <w:rsid w:val="00810E4C"/>
    <w:rsid w:val="008349BD"/>
    <w:rsid w:val="008350A6"/>
    <w:rsid w:val="008403CA"/>
    <w:rsid w:val="00864708"/>
    <w:rsid w:val="00865EB9"/>
    <w:rsid w:val="00872623"/>
    <w:rsid w:val="00876DD0"/>
    <w:rsid w:val="00881972"/>
    <w:rsid w:val="008C7066"/>
    <w:rsid w:val="00922C23"/>
    <w:rsid w:val="00927FAD"/>
    <w:rsid w:val="00931377"/>
    <w:rsid w:val="009314A3"/>
    <w:rsid w:val="0094108B"/>
    <w:rsid w:val="009411DA"/>
    <w:rsid w:val="00945138"/>
    <w:rsid w:val="009470FA"/>
    <w:rsid w:val="00953522"/>
    <w:rsid w:val="00957595"/>
    <w:rsid w:val="00993F05"/>
    <w:rsid w:val="009A20CE"/>
    <w:rsid w:val="009B2DFB"/>
    <w:rsid w:val="009C2012"/>
    <w:rsid w:val="009C4A0C"/>
    <w:rsid w:val="009D32FE"/>
    <w:rsid w:val="009D77AD"/>
    <w:rsid w:val="009E5CA6"/>
    <w:rsid w:val="00A129FD"/>
    <w:rsid w:val="00A13BD6"/>
    <w:rsid w:val="00A1460C"/>
    <w:rsid w:val="00A22E29"/>
    <w:rsid w:val="00A22FC5"/>
    <w:rsid w:val="00A45593"/>
    <w:rsid w:val="00A5442B"/>
    <w:rsid w:val="00A64C4C"/>
    <w:rsid w:val="00A65BAC"/>
    <w:rsid w:val="00A65FDF"/>
    <w:rsid w:val="00A66B5B"/>
    <w:rsid w:val="00A82A4E"/>
    <w:rsid w:val="00A8552C"/>
    <w:rsid w:val="00A900A6"/>
    <w:rsid w:val="00A90D91"/>
    <w:rsid w:val="00AA24F8"/>
    <w:rsid w:val="00AA3C04"/>
    <w:rsid w:val="00AA4580"/>
    <w:rsid w:val="00AA4DBC"/>
    <w:rsid w:val="00AA6735"/>
    <w:rsid w:val="00AA7586"/>
    <w:rsid w:val="00AB0D9D"/>
    <w:rsid w:val="00AB145E"/>
    <w:rsid w:val="00AD6406"/>
    <w:rsid w:val="00AE420C"/>
    <w:rsid w:val="00AE762D"/>
    <w:rsid w:val="00AE7973"/>
    <w:rsid w:val="00AF522B"/>
    <w:rsid w:val="00B00E14"/>
    <w:rsid w:val="00B028DE"/>
    <w:rsid w:val="00B14B13"/>
    <w:rsid w:val="00B2762F"/>
    <w:rsid w:val="00B35EEA"/>
    <w:rsid w:val="00B40FDE"/>
    <w:rsid w:val="00B4524D"/>
    <w:rsid w:val="00B52509"/>
    <w:rsid w:val="00B658C3"/>
    <w:rsid w:val="00B66D3F"/>
    <w:rsid w:val="00B9139C"/>
    <w:rsid w:val="00B971B9"/>
    <w:rsid w:val="00BA3476"/>
    <w:rsid w:val="00BB17EC"/>
    <w:rsid w:val="00BC2CCF"/>
    <w:rsid w:val="00BC329A"/>
    <w:rsid w:val="00BD2356"/>
    <w:rsid w:val="00C0323D"/>
    <w:rsid w:val="00C043F6"/>
    <w:rsid w:val="00C04DF8"/>
    <w:rsid w:val="00C0692F"/>
    <w:rsid w:val="00C23859"/>
    <w:rsid w:val="00C2757E"/>
    <w:rsid w:val="00C313A1"/>
    <w:rsid w:val="00C31675"/>
    <w:rsid w:val="00C34FE4"/>
    <w:rsid w:val="00C57E4E"/>
    <w:rsid w:val="00C623F7"/>
    <w:rsid w:val="00C63C79"/>
    <w:rsid w:val="00C75AA4"/>
    <w:rsid w:val="00C77AA7"/>
    <w:rsid w:val="00CA143D"/>
    <w:rsid w:val="00CC1F10"/>
    <w:rsid w:val="00CC514C"/>
    <w:rsid w:val="00CE64F1"/>
    <w:rsid w:val="00D21A51"/>
    <w:rsid w:val="00D2313D"/>
    <w:rsid w:val="00D303B9"/>
    <w:rsid w:val="00D320D7"/>
    <w:rsid w:val="00D46851"/>
    <w:rsid w:val="00D600E5"/>
    <w:rsid w:val="00D65584"/>
    <w:rsid w:val="00DB0E51"/>
    <w:rsid w:val="00DD3E65"/>
    <w:rsid w:val="00DD7222"/>
    <w:rsid w:val="00DE1B98"/>
    <w:rsid w:val="00DE29FF"/>
    <w:rsid w:val="00DE2ABC"/>
    <w:rsid w:val="00E06C96"/>
    <w:rsid w:val="00E16BF9"/>
    <w:rsid w:val="00E35728"/>
    <w:rsid w:val="00E45009"/>
    <w:rsid w:val="00E469FB"/>
    <w:rsid w:val="00E801B2"/>
    <w:rsid w:val="00E80968"/>
    <w:rsid w:val="00E848C2"/>
    <w:rsid w:val="00E86FDD"/>
    <w:rsid w:val="00E93799"/>
    <w:rsid w:val="00EB5FCA"/>
    <w:rsid w:val="00EB6582"/>
    <w:rsid w:val="00EC5BA8"/>
    <w:rsid w:val="00F027D5"/>
    <w:rsid w:val="00F04575"/>
    <w:rsid w:val="00F1350B"/>
    <w:rsid w:val="00F240ED"/>
    <w:rsid w:val="00F259A5"/>
    <w:rsid w:val="00F334A5"/>
    <w:rsid w:val="00F344C7"/>
    <w:rsid w:val="00F34510"/>
    <w:rsid w:val="00F37EE7"/>
    <w:rsid w:val="00F437D3"/>
    <w:rsid w:val="00F612DC"/>
    <w:rsid w:val="00F67DFF"/>
    <w:rsid w:val="00F73266"/>
    <w:rsid w:val="00F80AD3"/>
    <w:rsid w:val="00F976CE"/>
    <w:rsid w:val="00FA5A2E"/>
    <w:rsid w:val="00FA7601"/>
    <w:rsid w:val="00FB32EC"/>
    <w:rsid w:val="00FD3AF7"/>
    <w:rsid w:val="00FF103A"/>
    <w:rsid w:val="00FF4922"/>
    <w:rsid w:val="01B8711C"/>
    <w:rsid w:val="02C57301"/>
    <w:rsid w:val="03014E8D"/>
    <w:rsid w:val="037150E4"/>
    <w:rsid w:val="039B27B3"/>
    <w:rsid w:val="048C0673"/>
    <w:rsid w:val="06913D7D"/>
    <w:rsid w:val="070F3BEB"/>
    <w:rsid w:val="0760228A"/>
    <w:rsid w:val="0901046B"/>
    <w:rsid w:val="0B2F67D1"/>
    <w:rsid w:val="0C2C29E3"/>
    <w:rsid w:val="0D58017F"/>
    <w:rsid w:val="0E3A7EEB"/>
    <w:rsid w:val="0EC35E90"/>
    <w:rsid w:val="0EEB228D"/>
    <w:rsid w:val="0F3524BE"/>
    <w:rsid w:val="0FD06866"/>
    <w:rsid w:val="0FFF1A7B"/>
    <w:rsid w:val="10373C55"/>
    <w:rsid w:val="10817E15"/>
    <w:rsid w:val="10E17D52"/>
    <w:rsid w:val="10E264F4"/>
    <w:rsid w:val="10FE75BD"/>
    <w:rsid w:val="116263A4"/>
    <w:rsid w:val="11B72EEE"/>
    <w:rsid w:val="124949EE"/>
    <w:rsid w:val="12501CFA"/>
    <w:rsid w:val="129A0C20"/>
    <w:rsid w:val="131A46E1"/>
    <w:rsid w:val="154932AA"/>
    <w:rsid w:val="16495880"/>
    <w:rsid w:val="16561C0A"/>
    <w:rsid w:val="17244513"/>
    <w:rsid w:val="1756440C"/>
    <w:rsid w:val="17EA4AC4"/>
    <w:rsid w:val="181167A2"/>
    <w:rsid w:val="18502A38"/>
    <w:rsid w:val="193758B6"/>
    <w:rsid w:val="19D8219E"/>
    <w:rsid w:val="1A095178"/>
    <w:rsid w:val="1A925282"/>
    <w:rsid w:val="1AB4372D"/>
    <w:rsid w:val="1BE240E8"/>
    <w:rsid w:val="1C325D26"/>
    <w:rsid w:val="1CFB26FF"/>
    <w:rsid w:val="1DAF45E3"/>
    <w:rsid w:val="20C3020B"/>
    <w:rsid w:val="20FB77AC"/>
    <w:rsid w:val="212D68C4"/>
    <w:rsid w:val="213E7C64"/>
    <w:rsid w:val="232C7A6D"/>
    <w:rsid w:val="235F3D85"/>
    <w:rsid w:val="236805C2"/>
    <w:rsid w:val="24830518"/>
    <w:rsid w:val="25F10B28"/>
    <w:rsid w:val="261A55C1"/>
    <w:rsid w:val="26536532"/>
    <w:rsid w:val="26D53B01"/>
    <w:rsid w:val="280C7AD4"/>
    <w:rsid w:val="28F027FF"/>
    <w:rsid w:val="29D928D1"/>
    <w:rsid w:val="2A992EA7"/>
    <w:rsid w:val="2D6D7B36"/>
    <w:rsid w:val="2D8B6EE5"/>
    <w:rsid w:val="2E59735D"/>
    <w:rsid w:val="2ED70F2C"/>
    <w:rsid w:val="2F773F97"/>
    <w:rsid w:val="311E53C6"/>
    <w:rsid w:val="31D90140"/>
    <w:rsid w:val="33467BC7"/>
    <w:rsid w:val="33E502E6"/>
    <w:rsid w:val="33FF694E"/>
    <w:rsid w:val="34481D79"/>
    <w:rsid w:val="346634D4"/>
    <w:rsid w:val="34A122E6"/>
    <w:rsid w:val="34BE142B"/>
    <w:rsid w:val="37264332"/>
    <w:rsid w:val="381A7645"/>
    <w:rsid w:val="38DB3610"/>
    <w:rsid w:val="39D247D9"/>
    <w:rsid w:val="3A116DFD"/>
    <w:rsid w:val="3AA31C2F"/>
    <w:rsid w:val="3BBC6C47"/>
    <w:rsid w:val="3BDD06DF"/>
    <w:rsid w:val="3CDB1EA8"/>
    <w:rsid w:val="3E304DD7"/>
    <w:rsid w:val="3EA46B18"/>
    <w:rsid w:val="3F3464D2"/>
    <w:rsid w:val="3F59533D"/>
    <w:rsid w:val="3F795A88"/>
    <w:rsid w:val="41697331"/>
    <w:rsid w:val="416F6303"/>
    <w:rsid w:val="41F51169"/>
    <w:rsid w:val="42402D77"/>
    <w:rsid w:val="42EF1AC5"/>
    <w:rsid w:val="431F6113"/>
    <w:rsid w:val="434078F0"/>
    <w:rsid w:val="444073AC"/>
    <w:rsid w:val="45265CAC"/>
    <w:rsid w:val="45F8467B"/>
    <w:rsid w:val="45FF41E0"/>
    <w:rsid w:val="46383E74"/>
    <w:rsid w:val="46DC3FFA"/>
    <w:rsid w:val="47531E9E"/>
    <w:rsid w:val="478F59C0"/>
    <w:rsid w:val="48C24696"/>
    <w:rsid w:val="49B476A5"/>
    <w:rsid w:val="4B4D6412"/>
    <w:rsid w:val="4B5A77B1"/>
    <w:rsid w:val="4BA834B0"/>
    <w:rsid w:val="4BDE06D4"/>
    <w:rsid w:val="4CB1356C"/>
    <w:rsid w:val="4D775D6A"/>
    <w:rsid w:val="4F503F54"/>
    <w:rsid w:val="51C124D8"/>
    <w:rsid w:val="52211909"/>
    <w:rsid w:val="525D539A"/>
    <w:rsid w:val="53246EA0"/>
    <w:rsid w:val="539E7360"/>
    <w:rsid w:val="53A239FB"/>
    <w:rsid w:val="53A967EF"/>
    <w:rsid w:val="542834A1"/>
    <w:rsid w:val="54EB46DC"/>
    <w:rsid w:val="571A2C57"/>
    <w:rsid w:val="58512FBC"/>
    <w:rsid w:val="599B1F8B"/>
    <w:rsid w:val="59B709D9"/>
    <w:rsid w:val="59D6182E"/>
    <w:rsid w:val="5A247081"/>
    <w:rsid w:val="5A9E6B43"/>
    <w:rsid w:val="5B226DE1"/>
    <w:rsid w:val="5B2C3A08"/>
    <w:rsid w:val="5B3441D7"/>
    <w:rsid w:val="5DC85522"/>
    <w:rsid w:val="5E1B1C59"/>
    <w:rsid w:val="5EAA6853"/>
    <w:rsid w:val="5F082BFB"/>
    <w:rsid w:val="5F5A7AF2"/>
    <w:rsid w:val="5F5D2DC0"/>
    <w:rsid w:val="5F830533"/>
    <w:rsid w:val="60060D89"/>
    <w:rsid w:val="600F6AF9"/>
    <w:rsid w:val="60E76307"/>
    <w:rsid w:val="62196295"/>
    <w:rsid w:val="638721FC"/>
    <w:rsid w:val="651F7624"/>
    <w:rsid w:val="65404F72"/>
    <w:rsid w:val="654775D2"/>
    <w:rsid w:val="655A7D98"/>
    <w:rsid w:val="66A43866"/>
    <w:rsid w:val="673A7979"/>
    <w:rsid w:val="67895374"/>
    <w:rsid w:val="67A56846"/>
    <w:rsid w:val="67B37F15"/>
    <w:rsid w:val="69152FEE"/>
    <w:rsid w:val="69E36378"/>
    <w:rsid w:val="6A32103B"/>
    <w:rsid w:val="6A6253D4"/>
    <w:rsid w:val="6ABB3DA4"/>
    <w:rsid w:val="6ADA7A91"/>
    <w:rsid w:val="6AE61DC6"/>
    <w:rsid w:val="6B236570"/>
    <w:rsid w:val="6C2257EC"/>
    <w:rsid w:val="6C465D0D"/>
    <w:rsid w:val="6CAE358F"/>
    <w:rsid w:val="6D4D257A"/>
    <w:rsid w:val="6D4E297E"/>
    <w:rsid w:val="6D6D5174"/>
    <w:rsid w:val="6EA13765"/>
    <w:rsid w:val="6EA83188"/>
    <w:rsid w:val="6F8D5FDA"/>
    <w:rsid w:val="6FF336F1"/>
    <w:rsid w:val="701571C0"/>
    <w:rsid w:val="714419EB"/>
    <w:rsid w:val="742F1461"/>
    <w:rsid w:val="74314FEE"/>
    <w:rsid w:val="750A4AEE"/>
    <w:rsid w:val="75785009"/>
    <w:rsid w:val="763D1561"/>
    <w:rsid w:val="769E2150"/>
    <w:rsid w:val="76BE6B6D"/>
    <w:rsid w:val="778F25FA"/>
    <w:rsid w:val="77CB7B40"/>
    <w:rsid w:val="78612F43"/>
    <w:rsid w:val="78853AFA"/>
    <w:rsid w:val="79820574"/>
    <w:rsid w:val="7A7C18C3"/>
    <w:rsid w:val="7E4F3E13"/>
    <w:rsid w:val="7E8D39D7"/>
    <w:rsid w:val="7EDF7E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15"/>
    <w:qFormat/>
    <w:uiPriority w:val="0"/>
    <w:pPr>
      <w:keepNext/>
      <w:keepLines/>
      <w:spacing w:before="260" w:after="260" w:line="413" w:lineRule="auto"/>
      <w:ind w:firstLine="628"/>
      <w:jc w:val="center"/>
      <w:outlineLvl w:val="1"/>
    </w:pPr>
    <w:rPr>
      <w:rFonts w:ascii="Arial" w:hAnsi="Arial" w:eastAsia="黑体"/>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spacing w:after="120"/>
      <w:ind w:left="700" w:leftChars="700" w:right="700" w:rightChars="700"/>
    </w:pPr>
  </w:style>
  <w:style w:type="paragraph" w:styleId="4">
    <w:name w:val="Body Text Indent"/>
    <w:basedOn w:val="1"/>
    <w:qFormat/>
    <w:uiPriority w:val="0"/>
    <w:pPr>
      <w:spacing w:line="360" w:lineRule="auto"/>
      <w:ind w:firstLine="600"/>
    </w:pPr>
    <w:rPr>
      <w:sz w:val="24"/>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spacing w:beforeAutospacing="1" w:afterAutospacing="1"/>
      <w:jc w:val="left"/>
    </w:pPr>
    <w:rPr>
      <w:kern w:val="0"/>
      <w:sz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Hyperlink"/>
    <w:basedOn w:val="10"/>
    <w:qFormat/>
    <w:uiPriority w:val="0"/>
    <w:rPr>
      <w:color w:val="0000FF"/>
      <w:u w:val="single"/>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character" w:customStyle="1" w:styleId="14">
    <w:name w:val="标题 2 Char"/>
    <w:basedOn w:val="10"/>
    <w:semiHidden/>
    <w:qFormat/>
    <w:uiPriority w:val="9"/>
    <w:rPr>
      <w:rFonts w:asciiTheme="majorHAnsi" w:hAnsiTheme="majorHAnsi" w:eastAsiaTheme="majorEastAsia" w:cstheme="majorBidi"/>
      <w:b/>
      <w:bCs/>
      <w:sz w:val="32"/>
      <w:szCs w:val="32"/>
    </w:rPr>
  </w:style>
  <w:style w:type="character" w:customStyle="1" w:styleId="15">
    <w:name w:val="标题 2 Char1"/>
    <w:basedOn w:val="10"/>
    <w:link w:val="3"/>
    <w:qFormat/>
    <w:uiPriority w:val="0"/>
    <w:rPr>
      <w:rFonts w:ascii="Arial" w:hAnsi="Arial" w:eastAsia="黑体" w:cs="Times New Roman"/>
      <w:b/>
      <w:bCs/>
      <w:sz w:val="32"/>
      <w:szCs w:val="32"/>
    </w:rPr>
  </w:style>
  <w:style w:type="paragraph" w:styleId="16">
    <w:name w:val="List Paragraph"/>
    <w:basedOn w:val="1"/>
    <w:qFormat/>
    <w:uiPriority w:val="34"/>
    <w:pPr>
      <w:ind w:firstLine="420" w:firstLineChars="200"/>
    </w:pPr>
  </w:style>
  <w:style w:type="character" w:customStyle="1" w:styleId="17">
    <w:name w:val="bsharetext"/>
    <w:basedOn w:val="10"/>
    <w:qFormat/>
    <w:uiPriority w:val="0"/>
  </w:style>
  <w:style w:type="paragraph" w:customStyle="1" w:styleId="1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7E07D2-E509-443D-BD37-1AFEC27A2031}">
  <ds:schemaRefs/>
</ds:datastoreItem>
</file>

<file path=docProps/app.xml><?xml version="1.0" encoding="utf-8"?>
<Properties xmlns="http://schemas.openxmlformats.org/officeDocument/2006/extended-properties" xmlns:vt="http://schemas.openxmlformats.org/officeDocument/2006/docPropsVTypes">
  <Template>Normal.dotm</Template>
  <Company>RMYY</Company>
  <Pages>11</Pages>
  <Words>827</Words>
  <Characters>4720</Characters>
  <Lines>39</Lines>
  <Paragraphs>11</Paragraphs>
  <TotalTime>4</TotalTime>
  <ScaleCrop>false</ScaleCrop>
  <LinksUpToDate>false</LinksUpToDate>
  <CharactersWithSpaces>5536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2018-09-30T04:44:00Z</dcterms:created>
  <dc:creator>PC</dc:creator>
  <cp:lastModifiedBy>曾伊琦:-)</cp:lastModifiedBy>
  <cp:lastPrinted>2019-12-24T02:28:00Z</cp:lastPrinted>
  <dcterms:modified xsi:type="dcterms:W3CDTF">2021-01-25T02:58:41Z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