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2"/>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hint="default" w:ascii="宋体" w:eastAsia="宋体" w:cs="宋体"/>
          <w:b/>
          <w:kern w:val="0"/>
          <w:sz w:val="36"/>
          <w:szCs w:val="36"/>
          <w:lang w:val="en-US" w:eastAsia="zh-CN"/>
        </w:rPr>
      </w:pPr>
      <w:r>
        <w:rPr>
          <w:rFonts w:hint="eastAsia" w:ascii="宋体" w:hAnsi="宋体" w:cs="宋体"/>
          <w:b/>
          <w:kern w:val="0"/>
          <w:sz w:val="36"/>
          <w:szCs w:val="36"/>
        </w:rPr>
        <w:t>项目名称：</w:t>
      </w:r>
      <w:r>
        <w:rPr>
          <w:rFonts w:hint="eastAsia" w:ascii="宋体" w:hAnsi="宋体"/>
          <w:b/>
          <w:sz w:val="36"/>
          <w:szCs w:val="44"/>
          <w:lang w:val="en-US" w:eastAsia="zh-CN"/>
        </w:rPr>
        <w:t>移动护士站服务采购</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pPr>
        <w:pStyle w:val="2"/>
        <w:ind w:firstLine="0"/>
        <w:rPr>
          <w:rFonts w:ascii="黑体"/>
          <w:kern w:val="0"/>
        </w:rPr>
      </w:pPr>
      <w:bookmarkStart w:id="1" w:name="_Toc485736230"/>
      <w:r>
        <w:rPr>
          <w:rFonts w:hint="eastAsia"/>
          <w:kern w:val="0"/>
        </w:rPr>
        <w:t>一、系统咨询响应函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一、我方完全理解并接受系统咨询公告所有要求。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三、我方承诺，以后的项目采购不高于此次系统咨询结果，系统性能参数、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       </w:t>
      </w: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pStyle w:val="2"/>
        <w:ind w:firstLine="0"/>
        <w:rPr>
          <w:kern w:val="0"/>
        </w:rPr>
      </w:pPr>
      <w:bookmarkStart w:id="2" w:name="_Toc480191544"/>
      <w:bookmarkStart w:id="3" w:name="_Toc485736233"/>
      <w:bookmarkStart w:id="4" w:name="_Toc265316642"/>
      <w:r>
        <w:rPr>
          <w:rFonts w:hint="eastAsia"/>
          <w:kern w:val="0"/>
        </w:rPr>
        <w:t>二、服务项目、服务描述、价格</w:t>
      </w:r>
    </w:p>
    <w:bookmarkEnd w:id="2"/>
    <w:bookmarkEnd w:id="3"/>
    <w:p>
      <w:pPr>
        <w:spacing w:line="360" w:lineRule="auto"/>
        <w:ind w:left="403" w:leftChars="192"/>
        <w:rPr>
          <w:rFonts w:hint="eastAsia" w:ascii="宋体" w:hAnsi="宋体" w:cs="宋体"/>
          <w:color w:val="000000"/>
          <w:kern w:val="0"/>
          <w:sz w:val="27"/>
          <w:szCs w:val="27"/>
          <w:lang w:val="en-US" w:eastAsia="zh-CN"/>
        </w:rPr>
      </w:pPr>
      <w:bookmarkStart w:id="5" w:name="_Toc485736243"/>
      <w:bookmarkStart w:id="6" w:name="_Toc479257748"/>
      <w:bookmarkStart w:id="7" w:name="_Toc516969105"/>
      <w:bookmarkStart w:id="8" w:name="_Toc485736236"/>
      <w:r>
        <w:rPr>
          <w:rFonts w:hint="eastAsia" w:ascii="宋体" w:hAnsi="宋体" w:cs="宋体"/>
          <w:color w:val="000000"/>
          <w:kern w:val="0"/>
          <w:sz w:val="27"/>
          <w:szCs w:val="27"/>
          <w:lang w:val="en-US" w:eastAsia="zh-CN"/>
        </w:rPr>
        <w:t>（一）</w:t>
      </w:r>
      <w:r>
        <w:rPr>
          <w:rFonts w:hint="eastAsia" w:ascii="宋体" w:hAnsi="宋体" w:cs="宋体"/>
          <w:b/>
          <w:bCs/>
          <w:color w:val="000000"/>
          <w:kern w:val="0"/>
          <w:sz w:val="27"/>
          <w:szCs w:val="27"/>
          <w:lang w:val="en-US" w:eastAsia="zh-CN"/>
        </w:rPr>
        <w:t>服务总体要求：</w:t>
      </w:r>
    </w:p>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lang w:val="en-US" w:eastAsia="zh-CN"/>
        </w:rPr>
        <w:t>1</w:t>
      </w:r>
      <w:r>
        <w:rPr>
          <w:rFonts w:hint="eastAsia" w:ascii="宋体" w:hAnsi="宋体" w:cs="宋体"/>
          <w:color w:val="000000"/>
          <w:kern w:val="0"/>
          <w:sz w:val="27"/>
          <w:szCs w:val="27"/>
        </w:rPr>
        <w:t>.必须保证医院各个病房的4G网络信号符合</w:t>
      </w:r>
      <w:r>
        <w:rPr>
          <w:rFonts w:hint="eastAsia" w:ascii="宋体" w:hAnsi="宋体" w:cs="宋体"/>
          <w:color w:val="000000"/>
          <w:kern w:val="0"/>
          <w:sz w:val="27"/>
          <w:szCs w:val="27"/>
          <w:lang w:val="en-US" w:eastAsia="zh-CN"/>
        </w:rPr>
        <w:t>移动护士站</w:t>
      </w:r>
      <w:r>
        <w:rPr>
          <w:rFonts w:hint="eastAsia" w:ascii="宋体" w:hAnsi="宋体" w:cs="宋体"/>
          <w:color w:val="000000"/>
          <w:kern w:val="0"/>
          <w:sz w:val="27"/>
          <w:szCs w:val="27"/>
        </w:rPr>
        <w:t>设备通信要求，避免由于网络干扰导致数据卡顿等现象。</w:t>
      </w:r>
    </w:p>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.由于医院科室大批量的使用</w:t>
      </w:r>
      <w:r>
        <w:rPr>
          <w:rFonts w:hint="eastAsia" w:ascii="宋体" w:hAnsi="宋体" w:cs="宋体"/>
          <w:color w:val="000000"/>
          <w:kern w:val="0"/>
          <w:sz w:val="27"/>
          <w:szCs w:val="27"/>
          <w:lang w:val="en-US" w:eastAsia="zh-CN"/>
        </w:rPr>
        <w:t>移动护士站</w:t>
      </w:r>
      <w:r>
        <w:rPr>
          <w:rFonts w:hint="eastAsia" w:ascii="宋体" w:hAnsi="宋体" w:cs="宋体"/>
          <w:color w:val="000000"/>
          <w:kern w:val="0"/>
          <w:sz w:val="27"/>
          <w:szCs w:val="27"/>
        </w:rPr>
        <w:t>设备，对网络带宽和服务器的要求需要提高，以满足大数据量的通信。</w:t>
      </w:r>
    </w:p>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lang w:val="en-US" w:eastAsia="zh-CN"/>
        </w:rPr>
        <w:t>3</w:t>
      </w:r>
      <w:r>
        <w:rPr>
          <w:rFonts w:hint="eastAsia" w:ascii="宋体" w:hAnsi="宋体" w:cs="宋体"/>
          <w:color w:val="000000"/>
          <w:kern w:val="0"/>
          <w:sz w:val="27"/>
          <w:szCs w:val="27"/>
        </w:rPr>
        <w:t>.保证</w:t>
      </w:r>
      <w:r>
        <w:rPr>
          <w:rFonts w:hint="eastAsia" w:ascii="宋体" w:hAnsi="宋体" w:cs="宋体"/>
          <w:color w:val="000000"/>
          <w:kern w:val="0"/>
          <w:sz w:val="27"/>
          <w:szCs w:val="27"/>
          <w:lang w:val="en-US" w:eastAsia="zh-CN"/>
        </w:rPr>
        <w:t>移动护士站</w:t>
      </w:r>
      <w:r>
        <w:rPr>
          <w:rFonts w:hint="eastAsia" w:ascii="宋体" w:hAnsi="宋体" w:cs="宋体"/>
          <w:color w:val="000000"/>
          <w:kern w:val="0"/>
          <w:sz w:val="27"/>
          <w:szCs w:val="27"/>
        </w:rPr>
        <w:t>设备数据通信安全，通过信道加密、存储加密、多重校验等技术，从接入安全、传输安全、存储安全、机制安全方面保障业务的安全性。</w:t>
      </w:r>
    </w:p>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lang w:eastAsia="zh-CN"/>
        </w:rPr>
        <w:t>（</w:t>
      </w:r>
      <w:r>
        <w:rPr>
          <w:rFonts w:hint="eastAsia" w:ascii="宋体" w:hAnsi="宋体" w:cs="宋体"/>
          <w:color w:val="000000"/>
          <w:kern w:val="0"/>
          <w:sz w:val="27"/>
          <w:szCs w:val="27"/>
          <w:lang w:val="en-US" w:eastAsia="zh-CN"/>
        </w:rPr>
        <w:t>二</w:t>
      </w:r>
      <w:r>
        <w:rPr>
          <w:rFonts w:hint="eastAsia" w:ascii="宋体" w:hAnsi="宋体" w:cs="宋体"/>
          <w:color w:val="000000"/>
          <w:kern w:val="0"/>
          <w:sz w:val="27"/>
          <w:szCs w:val="27"/>
          <w:lang w:eastAsia="zh-CN"/>
        </w:rPr>
        <w:t>）</w:t>
      </w:r>
      <w:r>
        <w:rPr>
          <w:rFonts w:hint="eastAsia" w:ascii="宋体" w:hAnsi="宋体" w:cs="宋体"/>
          <w:b/>
          <w:bCs/>
          <w:color w:val="000000"/>
          <w:kern w:val="0"/>
          <w:sz w:val="27"/>
          <w:szCs w:val="27"/>
        </w:rPr>
        <w:t>设备清单</w:t>
      </w:r>
      <w:r>
        <w:rPr>
          <w:rFonts w:hint="eastAsia" w:ascii="宋体" w:hAnsi="宋体" w:cs="宋体"/>
          <w:b/>
          <w:bCs/>
          <w:color w:val="000000"/>
          <w:kern w:val="0"/>
          <w:sz w:val="27"/>
          <w:szCs w:val="27"/>
          <w:lang w:val="en-US" w:eastAsia="zh-CN"/>
        </w:rPr>
        <w:t>要</w:t>
      </w:r>
      <w:r>
        <w:rPr>
          <w:rFonts w:hint="eastAsia" w:ascii="宋体" w:hAnsi="宋体" w:cs="宋体"/>
          <w:b/>
          <w:bCs/>
          <w:color w:val="000000"/>
          <w:kern w:val="0"/>
          <w:sz w:val="27"/>
          <w:szCs w:val="27"/>
        </w:rPr>
        <w:t>求：</w:t>
      </w:r>
    </w:p>
    <w:tbl>
      <w:tblPr>
        <w:tblStyle w:val="23"/>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38"/>
        <w:gridCol w:w="4351"/>
        <w:gridCol w:w="1031"/>
        <w:gridCol w:w="91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80" w:type="dxa"/>
            <w:shd w:val="clear" w:color="000000" w:fill="FFF2CC"/>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序号</w:t>
            </w:r>
          </w:p>
        </w:tc>
        <w:tc>
          <w:tcPr>
            <w:tcW w:w="1238" w:type="dxa"/>
            <w:shd w:val="clear" w:color="000000" w:fill="FFF2CC"/>
            <w:vAlign w:val="center"/>
          </w:tcPr>
          <w:p>
            <w:pPr>
              <w:spacing w:line="360" w:lineRule="auto"/>
              <w:ind w:left="403" w:leftChars="192"/>
              <w:rPr>
                <w:rFonts w:hint="default" w:ascii="宋体" w:hAnsi="宋体" w:eastAsia="宋体" w:cs="宋体"/>
                <w:color w:val="000000"/>
                <w:kern w:val="0"/>
                <w:sz w:val="27"/>
                <w:szCs w:val="27"/>
                <w:lang w:val="en-US" w:eastAsia="zh-CN"/>
              </w:rPr>
            </w:pPr>
            <w:r>
              <w:rPr>
                <w:rFonts w:hint="eastAsia" w:ascii="宋体" w:hAnsi="宋体" w:cs="宋体"/>
                <w:color w:val="000000"/>
                <w:kern w:val="0"/>
                <w:sz w:val="27"/>
                <w:szCs w:val="27"/>
                <w:lang w:val="en-US" w:eastAsia="zh-CN"/>
              </w:rPr>
              <w:t>服务项目</w:t>
            </w:r>
          </w:p>
        </w:tc>
        <w:tc>
          <w:tcPr>
            <w:tcW w:w="4351" w:type="dxa"/>
            <w:shd w:val="clear" w:color="000000" w:fill="FFF2CC"/>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参数要求</w:t>
            </w:r>
          </w:p>
        </w:tc>
        <w:tc>
          <w:tcPr>
            <w:tcW w:w="1031" w:type="dxa"/>
            <w:shd w:val="clear" w:color="000000" w:fill="FFF2CC"/>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数量</w:t>
            </w:r>
          </w:p>
        </w:tc>
        <w:tc>
          <w:tcPr>
            <w:tcW w:w="910" w:type="dxa"/>
            <w:shd w:val="clear" w:color="000000" w:fill="FFF2CC"/>
            <w:vAlign w:val="center"/>
          </w:tcPr>
          <w:p>
            <w:pPr>
              <w:spacing w:line="360" w:lineRule="auto"/>
              <w:ind w:left="403" w:leftChars="192"/>
              <w:rPr>
                <w:rFonts w:hint="default" w:ascii="宋体" w:hAnsi="宋体" w:eastAsia="宋体" w:cs="宋体"/>
                <w:color w:val="000000"/>
                <w:kern w:val="0"/>
                <w:sz w:val="27"/>
                <w:szCs w:val="27"/>
                <w:lang w:val="en-US" w:eastAsia="zh-CN"/>
              </w:rPr>
            </w:pPr>
            <w:r>
              <w:rPr>
                <w:rFonts w:hint="eastAsia" w:ascii="宋体" w:hAnsi="宋体" w:cs="宋体"/>
                <w:color w:val="000000"/>
                <w:kern w:val="0"/>
                <w:sz w:val="27"/>
                <w:szCs w:val="27"/>
                <w:lang w:val="en-US" w:eastAsia="zh-CN"/>
              </w:rPr>
              <w:t>单位</w:t>
            </w:r>
          </w:p>
        </w:tc>
        <w:tc>
          <w:tcPr>
            <w:tcW w:w="1447" w:type="dxa"/>
            <w:shd w:val="clear" w:color="000000" w:fill="FFF2CC"/>
            <w:vAlign w:val="center"/>
          </w:tcPr>
          <w:p>
            <w:pPr>
              <w:spacing w:line="360" w:lineRule="auto"/>
              <w:ind w:left="403" w:leftChars="192"/>
              <w:rPr>
                <w:rFonts w:hint="default"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价格/月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1180" w:type="dxa"/>
            <w:shd w:val="clear" w:color="auto" w:fill="auto"/>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1</w:t>
            </w:r>
          </w:p>
        </w:tc>
        <w:tc>
          <w:tcPr>
            <w:tcW w:w="1238" w:type="dxa"/>
            <w:shd w:val="clear" w:color="auto" w:fill="auto"/>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移动护</w:t>
            </w:r>
            <w:r>
              <w:rPr>
                <w:rFonts w:hint="eastAsia" w:ascii="宋体" w:hAnsi="宋体" w:cs="宋体"/>
                <w:color w:val="000000"/>
                <w:kern w:val="0"/>
                <w:sz w:val="27"/>
                <w:szCs w:val="27"/>
                <w:lang w:val="en-US" w:eastAsia="zh-CN"/>
              </w:rPr>
              <w:t>士 站</w:t>
            </w:r>
            <w:r>
              <w:rPr>
                <w:rFonts w:hint="eastAsia" w:ascii="宋体" w:hAnsi="宋体" w:cs="宋体"/>
                <w:color w:val="000000"/>
                <w:kern w:val="0"/>
                <w:sz w:val="27"/>
                <w:szCs w:val="27"/>
              </w:rPr>
              <w:t>终端</w:t>
            </w:r>
          </w:p>
        </w:tc>
        <w:tc>
          <w:tcPr>
            <w:tcW w:w="4351" w:type="dxa"/>
            <w:shd w:val="clear" w:color="auto" w:fill="auto"/>
            <w:vAlign w:val="center"/>
          </w:tcPr>
          <w:p>
            <w:pPr>
              <w:numPr>
                <w:ilvl w:val="0"/>
                <w:numId w:val="0"/>
              </w:numPr>
              <w:spacing w:line="360" w:lineRule="auto"/>
              <w:rPr>
                <w:rFonts w:hint="eastAsia" w:eastAsia="宋体"/>
                <w:lang w:val="en-US" w:eastAsia="zh-CN"/>
              </w:rPr>
            </w:pPr>
            <w:r>
              <w:rPr>
                <w:rFonts w:hint="eastAsia" w:ascii="宋体" w:hAnsi="宋体" w:cs="宋体"/>
                <w:color w:val="000000"/>
                <w:kern w:val="0"/>
                <w:sz w:val="27"/>
                <w:szCs w:val="27"/>
                <w:lang w:val="en-US" w:eastAsia="zh-CN"/>
              </w:rPr>
              <w:t>CPU：</w:t>
            </w:r>
            <w:r>
              <w:rPr>
                <w:rFonts w:hint="eastAsia" w:ascii="宋体" w:hAnsi="宋体" w:cs="宋体"/>
                <w:color w:val="000000"/>
                <w:kern w:val="0"/>
                <w:sz w:val="27"/>
                <w:szCs w:val="27"/>
              </w:rPr>
              <w:t>八核处理器，频率≥2.</w:t>
            </w:r>
            <w:r>
              <w:rPr>
                <w:rFonts w:hint="eastAsia" w:ascii="宋体" w:hAnsi="宋体" w:cs="宋体"/>
                <w:color w:val="000000"/>
                <w:kern w:val="0"/>
                <w:sz w:val="27"/>
                <w:szCs w:val="27"/>
                <w:lang w:val="en-US" w:eastAsia="zh-CN"/>
              </w:rPr>
              <w:t>3</w:t>
            </w:r>
            <w:r>
              <w:rPr>
                <w:rFonts w:hint="eastAsia" w:ascii="宋体" w:hAnsi="宋体" w:cs="宋体"/>
                <w:color w:val="000000"/>
                <w:kern w:val="0"/>
                <w:sz w:val="27"/>
                <w:szCs w:val="27"/>
              </w:rPr>
              <w:t>GHZ</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运行内存≥4GB RAM</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储存内存≥64GB ROM</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支持用户存储扩展</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续航能力</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可充电的锂离子电池，容量≥4500mAh，工作时间≥10小时</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屏幕尺寸</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≥5.0英寸，电容多点触控，支持戴手套/带水触摸</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屏幕分辨率</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分辨率≥1280*720</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摄像头</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后置≥1300万像素</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外壳材料</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白色抑菌材料，可耐受医用酒精、过氧化氢、丙乙醇、聚维酮碘等医院常用消毒剂（含屏幕部分）</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按键</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为便于消毒清洗设备正面必须为触控按键，不得有实体按键，提供样机验证；防摔抗震</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可承受1.5m高处到地面的多次跌落</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防水防尘工业等级</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≥IP67</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网络</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支持802.11a/b/g/n/a二维码快捷设置c协议，2.4G/5G双频</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支持4G全网通；Bluetooth4.2（支持BLE）</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定位系统</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支持主流定位服务，GPS，北斗等</w:t>
            </w:r>
            <w:r>
              <w:rPr>
                <w:rFonts w:hint="eastAsia" w:ascii="宋体" w:hAnsi="宋体" w:cs="宋体"/>
                <w:color w:val="000000"/>
                <w:kern w:val="0"/>
                <w:sz w:val="27"/>
                <w:szCs w:val="27"/>
                <w:lang w:val="en-US" w:eastAsia="zh-CN"/>
              </w:rPr>
              <w:t>；扫描：</w:t>
            </w:r>
            <w:r>
              <w:rPr>
                <w:rFonts w:hint="eastAsia" w:ascii="宋体" w:hAnsi="宋体" w:cs="宋体"/>
                <w:color w:val="000000"/>
                <w:kern w:val="0"/>
                <w:sz w:val="27"/>
                <w:szCs w:val="27"/>
              </w:rPr>
              <w:t>支持1D/2D条码扫描</w:t>
            </w:r>
            <w:r>
              <w:rPr>
                <w:rFonts w:hint="eastAsia" w:ascii="宋体" w:hAnsi="宋体" w:cs="宋体"/>
                <w:color w:val="000000"/>
                <w:kern w:val="0"/>
                <w:sz w:val="27"/>
                <w:szCs w:val="27"/>
                <w:lang w:val="en-US" w:eastAsia="zh-CN"/>
              </w:rPr>
              <w:t>；支持1D/2D条码扫描，支持屏幕扫描，扫描头和PDA为同一品牌（提供专利加盖公章），同时支持污损残缺条码和避光带扫描；</w:t>
            </w:r>
            <w:r>
              <w:rPr>
                <w:rFonts w:hint="eastAsia" w:ascii="宋体" w:hAnsi="宋体" w:cs="宋体"/>
                <w:color w:val="000000"/>
                <w:kern w:val="0"/>
                <w:sz w:val="27"/>
                <w:szCs w:val="27"/>
              </w:rPr>
              <w:t>准心模式</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可实现PDA准心扫描，防止相邻条码的误读</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操作系统</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Android 9.0或以上</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二维码快捷设置</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通过扫描二维码快速实现复制其他设备部分设置，如条码、WiFi等设置</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安全管理桌面</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系统自带安全管理桌面，限制使用指定APP</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网络安全管理</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不借助任何第三方软件实现添加网络白（黑）名单功能，屏蔽非法网络，确保设备院内医疗使用。系统安全设计</w:t>
            </w:r>
            <w:r>
              <w:rPr>
                <w:rFonts w:hint="eastAsia" w:ascii="宋体" w:hAnsi="宋体" w:cs="宋体"/>
                <w:color w:val="000000"/>
                <w:kern w:val="0"/>
                <w:sz w:val="27"/>
                <w:szCs w:val="27"/>
                <w:lang w:eastAsia="zh-CN"/>
              </w:rPr>
              <w:t>：</w:t>
            </w:r>
            <w:r>
              <w:rPr>
                <w:rFonts w:hint="eastAsia" w:ascii="宋体" w:hAnsi="宋体" w:cs="宋体"/>
                <w:color w:val="000000"/>
                <w:kern w:val="0"/>
                <w:sz w:val="27"/>
                <w:szCs w:val="27"/>
              </w:rPr>
              <w:t>具有密码验证机制，在安装新的APP需要输入密码方可确认、可设置APP使用权限，禁止使用非法APP应用</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认证</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CCC认证</w:t>
            </w:r>
            <w:r>
              <w:rPr>
                <w:rFonts w:hint="eastAsia" w:ascii="宋体" w:hAnsi="宋体" w:cs="宋体"/>
                <w:color w:val="000000"/>
                <w:kern w:val="0"/>
                <w:sz w:val="27"/>
                <w:szCs w:val="27"/>
                <w:lang w:val="en-US" w:eastAsia="zh-CN"/>
              </w:rPr>
              <w:t>,</w:t>
            </w:r>
            <w:r>
              <w:rPr>
                <w:rFonts w:hint="eastAsia" w:ascii="宋体" w:hAnsi="宋体" w:cs="宋体"/>
                <w:color w:val="000000"/>
                <w:kern w:val="0"/>
                <w:sz w:val="27"/>
                <w:szCs w:val="27"/>
              </w:rPr>
              <w:t>入网许可证</w:t>
            </w:r>
            <w:r>
              <w:rPr>
                <w:rFonts w:hint="eastAsia" w:ascii="宋体" w:hAnsi="宋体" w:cs="宋体"/>
                <w:color w:val="000000"/>
                <w:kern w:val="0"/>
                <w:sz w:val="27"/>
                <w:szCs w:val="27"/>
                <w:lang w:eastAsia="zh-CN"/>
              </w:rPr>
              <w:t>，型号核准证</w:t>
            </w:r>
          </w:p>
        </w:tc>
        <w:tc>
          <w:tcPr>
            <w:tcW w:w="1031" w:type="dxa"/>
            <w:shd w:val="clear" w:color="auto" w:fill="auto"/>
            <w:vAlign w:val="center"/>
          </w:tcPr>
          <w:p>
            <w:pPr>
              <w:spacing w:line="360" w:lineRule="auto"/>
              <w:ind w:left="403" w:leftChars="192"/>
              <w:rPr>
                <w:rFonts w:hint="default"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88</w:t>
            </w:r>
          </w:p>
        </w:tc>
        <w:tc>
          <w:tcPr>
            <w:tcW w:w="910" w:type="dxa"/>
            <w:shd w:val="clear" w:color="auto" w:fill="auto"/>
            <w:vAlign w:val="center"/>
          </w:tcPr>
          <w:p>
            <w:pPr>
              <w:spacing w:line="360" w:lineRule="auto"/>
              <w:ind w:left="403" w:leftChars="192"/>
              <w:rPr>
                <w:rFonts w:hint="default"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台</w:t>
            </w:r>
          </w:p>
        </w:tc>
        <w:tc>
          <w:tcPr>
            <w:tcW w:w="1447" w:type="dxa"/>
            <w:shd w:val="clear" w:color="auto" w:fill="auto"/>
            <w:vAlign w:val="center"/>
          </w:tcPr>
          <w:p>
            <w:pPr>
              <w:spacing w:line="360" w:lineRule="auto"/>
              <w:ind w:left="403" w:leftChars="192"/>
              <w:rPr>
                <w:rFonts w:hint="eastAsia" w:ascii="宋体" w:hAnsi="宋体" w:cs="宋体"/>
                <w:color w:val="000000"/>
                <w:kern w:val="0"/>
                <w:sz w:val="27"/>
                <w:szCs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80" w:type="dxa"/>
            <w:shd w:val="clear" w:color="auto" w:fill="auto"/>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2</w:t>
            </w:r>
          </w:p>
        </w:tc>
        <w:tc>
          <w:tcPr>
            <w:tcW w:w="1238" w:type="dxa"/>
            <w:shd w:val="clear" w:color="auto" w:fill="auto"/>
            <w:vAlign w:val="center"/>
          </w:tcPr>
          <w:p>
            <w:pPr>
              <w:spacing w:line="360" w:lineRule="auto"/>
              <w:ind w:left="403" w:leftChars="192"/>
              <w:rPr>
                <w:rFonts w:hint="eastAsia" w:ascii="宋体" w:hAnsi="宋体" w:cs="宋体"/>
                <w:color w:val="000000"/>
                <w:kern w:val="0"/>
                <w:sz w:val="27"/>
                <w:szCs w:val="27"/>
                <w:lang w:eastAsia="zh-CN"/>
              </w:rPr>
            </w:pPr>
            <w:r>
              <w:rPr>
                <w:rFonts w:hint="eastAsia" w:ascii="宋体" w:hAnsi="宋体" w:cs="宋体"/>
                <w:color w:val="000000"/>
                <w:kern w:val="0"/>
                <w:sz w:val="27"/>
                <w:szCs w:val="27"/>
                <w:lang w:val="en-US" w:eastAsia="zh-CN"/>
              </w:rPr>
              <w:t>流量卡</w:t>
            </w:r>
          </w:p>
        </w:tc>
        <w:tc>
          <w:tcPr>
            <w:tcW w:w="4351" w:type="dxa"/>
            <w:shd w:val="clear" w:color="auto" w:fill="auto"/>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每张卡含2G/月高速流量，用于专用4G网络安全传输</w:t>
            </w:r>
          </w:p>
        </w:tc>
        <w:tc>
          <w:tcPr>
            <w:tcW w:w="1031" w:type="dxa"/>
            <w:shd w:val="clear" w:color="auto" w:fill="auto"/>
            <w:vAlign w:val="center"/>
          </w:tcPr>
          <w:p>
            <w:pPr>
              <w:spacing w:line="360" w:lineRule="auto"/>
              <w:ind w:left="403" w:leftChars="192"/>
              <w:rPr>
                <w:rFonts w:hint="default"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88</w:t>
            </w:r>
          </w:p>
        </w:tc>
        <w:tc>
          <w:tcPr>
            <w:tcW w:w="910" w:type="dxa"/>
            <w:shd w:val="clear" w:color="auto" w:fill="auto"/>
            <w:vAlign w:val="center"/>
          </w:tcPr>
          <w:p>
            <w:pPr>
              <w:spacing w:line="360" w:lineRule="auto"/>
              <w:ind w:left="403" w:leftChars="192"/>
              <w:rPr>
                <w:rFonts w:hint="default"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张</w:t>
            </w:r>
          </w:p>
        </w:tc>
        <w:tc>
          <w:tcPr>
            <w:tcW w:w="1447" w:type="dxa"/>
            <w:shd w:val="clear" w:color="auto" w:fill="auto"/>
            <w:vAlign w:val="center"/>
          </w:tcPr>
          <w:p>
            <w:pPr>
              <w:spacing w:line="360" w:lineRule="auto"/>
              <w:ind w:left="403" w:leftChars="192"/>
              <w:rPr>
                <w:rFonts w:hint="eastAsia" w:ascii="宋体" w:hAnsi="宋体" w:cs="宋体"/>
                <w:color w:val="000000"/>
                <w:kern w:val="0"/>
                <w:sz w:val="27"/>
                <w:szCs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80" w:type="dxa"/>
            <w:shd w:val="clear" w:color="auto" w:fill="auto"/>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3</w:t>
            </w:r>
          </w:p>
        </w:tc>
        <w:tc>
          <w:tcPr>
            <w:tcW w:w="1238" w:type="dxa"/>
            <w:shd w:val="clear" w:color="auto" w:fill="auto"/>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VPDN专线</w:t>
            </w:r>
          </w:p>
        </w:tc>
        <w:tc>
          <w:tcPr>
            <w:tcW w:w="4351" w:type="dxa"/>
            <w:shd w:val="clear" w:color="auto" w:fill="auto"/>
            <w:vAlign w:val="center"/>
          </w:tcPr>
          <w:p>
            <w:pPr>
              <w:spacing w:line="360" w:lineRule="auto"/>
              <w:ind w:left="403" w:leftChars="192"/>
              <w:rPr>
                <w:rFonts w:hint="default" w:ascii="宋体" w:hAnsi="宋体" w:eastAsia="宋体" w:cs="宋体"/>
                <w:color w:val="000000"/>
                <w:kern w:val="0"/>
                <w:sz w:val="27"/>
                <w:szCs w:val="27"/>
                <w:lang w:val="en-US" w:eastAsia="zh-CN"/>
              </w:rPr>
            </w:pPr>
            <w:r>
              <w:rPr>
                <w:rFonts w:hint="eastAsia" w:ascii="宋体" w:hAnsi="宋体" w:cs="宋体"/>
                <w:color w:val="000000"/>
                <w:kern w:val="0"/>
                <w:sz w:val="27"/>
                <w:szCs w:val="27"/>
                <w:lang w:val="en-US" w:eastAsia="zh-CN"/>
              </w:rPr>
              <w:t>10</w:t>
            </w:r>
            <w:r>
              <w:rPr>
                <w:rFonts w:hint="eastAsia" w:ascii="宋体" w:hAnsi="宋体" w:cs="宋体"/>
                <w:color w:val="000000"/>
                <w:kern w:val="0"/>
                <w:sz w:val="27"/>
                <w:szCs w:val="27"/>
              </w:rPr>
              <w:t>0M</w:t>
            </w:r>
            <w:r>
              <w:rPr>
                <w:rFonts w:hint="eastAsia" w:ascii="宋体" w:hAnsi="宋体" w:cs="宋体"/>
                <w:color w:val="000000"/>
                <w:kern w:val="0"/>
                <w:sz w:val="27"/>
                <w:szCs w:val="27"/>
                <w:lang w:val="en-US" w:eastAsia="zh-CN"/>
              </w:rPr>
              <w:t>的</w:t>
            </w:r>
            <w:r>
              <w:rPr>
                <w:rFonts w:hint="eastAsia" w:ascii="宋体" w:hAnsi="宋体" w:cs="宋体"/>
                <w:color w:val="000000"/>
                <w:kern w:val="0"/>
                <w:sz w:val="27"/>
                <w:szCs w:val="27"/>
              </w:rPr>
              <w:t>VPDN数据专线用于移动终端数据传送及接收</w:t>
            </w:r>
            <w:r>
              <w:rPr>
                <w:rFonts w:hint="eastAsia" w:ascii="宋体" w:hAnsi="宋体" w:cs="宋体"/>
                <w:color w:val="000000"/>
                <w:kern w:val="0"/>
                <w:sz w:val="27"/>
                <w:szCs w:val="27"/>
                <w:lang w:val="en-US" w:eastAsia="zh-CN"/>
              </w:rPr>
              <w:t>,及与医院内部网络打通。</w:t>
            </w:r>
          </w:p>
        </w:tc>
        <w:tc>
          <w:tcPr>
            <w:tcW w:w="1031" w:type="dxa"/>
            <w:shd w:val="clear" w:color="auto" w:fill="auto"/>
            <w:vAlign w:val="center"/>
          </w:tcPr>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rPr>
              <w:t>1</w:t>
            </w:r>
          </w:p>
        </w:tc>
        <w:tc>
          <w:tcPr>
            <w:tcW w:w="910" w:type="dxa"/>
            <w:shd w:val="clear" w:color="auto" w:fill="auto"/>
            <w:vAlign w:val="center"/>
          </w:tcPr>
          <w:p>
            <w:pPr>
              <w:spacing w:line="360" w:lineRule="auto"/>
              <w:ind w:left="403" w:leftChars="192"/>
              <w:rPr>
                <w:rFonts w:hint="eastAsia" w:ascii="宋体" w:hAnsi="宋体" w:eastAsia="宋体" w:cs="宋体"/>
                <w:color w:val="000000"/>
                <w:kern w:val="0"/>
                <w:sz w:val="27"/>
                <w:szCs w:val="27"/>
                <w:lang w:val="en-US" w:eastAsia="zh-CN"/>
              </w:rPr>
            </w:pPr>
            <w:r>
              <w:rPr>
                <w:rFonts w:hint="eastAsia" w:ascii="宋体" w:hAnsi="宋体" w:cs="宋体"/>
                <w:color w:val="000000"/>
                <w:kern w:val="0"/>
                <w:sz w:val="27"/>
                <w:szCs w:val="27"/>
                <w:lang w:val="en-US" w:eastAsia="zh-CN"/>
              </w:rPr>
              <w:t>条</w:t>
            </w:r>
          </w:p>
        </w:tc>
        <w:tc>
          <w:tcPr>
            <w:tcW w:w="1447" w:type="dxa"/>
            <w:shd w:val="clear" w:color="auto" w:fill="auto"/>
            <w:vAlign w:val="center"/>
          </w:tcPr>
          <w:p>
            <w:pPr>
              <w:spacing w:line="360" w:lineRule="auto"/>
              <w:ind w:left="403" w:leftChars="192"/>
              <w:rPr>
                <w:rFonts w:hint="eastAsia" w:ascii="宋体" w:hAnsi="宋体" w:cs="宋体"/>
                <w:color w:val="000000"/>
                <w:kern w:val="0"/>
                <w:sz w:val="27"/>
                <w:szCs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80" w:type="dxa"/>
            <w:shd w:val="clear" w:color="auto" w:fill="auto"/>
            <w:vAlign w:val="center"/>
          </w:tcPr>
          <w:p>
            <w:pPr>
              <w:spacing w:line="360" w:lineRule="auto"/>
              <w:ind w:left="403" w:leftChars="192"/>
              <w:rPr>
                <w:rFonts w:hint="eastAsia" w:ascii="宋体" w:hAnsi="宋体" w:cs="宋体"/>
                <w:color w:val="000000"/>
                <w:kern w:val="0"/>
                <w:sz w:val="27"/>
                <w:szCs w:val="27"/>
              </w:rPr>
            </w:pPr>
          </w:p>
        </w:tc>
        <w:tc>
          <w:tcPr>
            <w:tcW w:w="1238" w:type="dxa"/>
            <w:shd w:val="clear" w:color="auto" w:fill="auto"/>
            <w:vAlign w:val="center"/>
          </w:tcPr>
          <w:p>
            <w:pPr>
              <w:spacing w:line="360" w:lineRule="auto"/>
              <w:ind w:left="403" w:leftChars="192"/>
              <w:rPr>
                <w:rFonts w:hint="eastAsia" w:ascii="宋体" w:hAnsi="宋体" w:cs="宋体"/>
                <w:color w:val="000000"/>
                <w:kern w:val="0"/>
                <w:sz w:val="27"/>
                <w:szCs w:val="27"/>
              </w:rPr>
            </w:pPr>
          </w:p>
        </w:tc>
        <w:tc>
          <w:tcPr>
            <w:tcW w:w="4351" w:type="dxa"/>
            <w:shd w:val="clear" w:color="auto" w:fill="auto"/>
            <w:vAlign w:val="center"/>
          </w:tcPr>
          <w:p>
            <w:pPr>
              <w:spacing w:line="360" w:lineRule="auto"/>
              <w:ind w:left="403" w:leftChars="192"/>
              <w:rPr>
                <w:rFonts w:hint="eastAsia" w:ascii="宋体" w:hAnsi="宋体" w:cs="宋体"/>
                <w:color w:val="000000"/>
                <w:kern w:val="0"/>
                <w:sz w:val="27"/>
                <w:szCs w:val="27"/>
                <w:lang w:val="en-US" w:eastAsia="zh-CN"/>
              </w:rPr>
            </w:pPr>
          </w:p>
        </w:tc>
        <w:tc>
          <w:tcPr>
            <w:tcW w:w="1031" w:type="dxa"/>
            <w:shd w:val="clear" w:color="auto" w:fill="auto"/>
            <w:vAlign w:val="center"/>
          </w:tcPr>
          <w:p>
            <w:pPr>
              <w:spacing w:line="360" w:lineRule="auto"/>
              <w:ind w:left="403" w:leftChars="192"/>
              <w:rPr>
                <w:rFonts w:hint="eastAsia" w:ascii="宋体" w:hAnsi="宋体" w:cs="宋体"/>
                <w:color w:val="000000"/>
                <w:kern w:val="0"/>
                <w:sz w:val="27"/>
                <w:szCs w:val="27"/>
              </w:rPr>
            </w:pPr>
          </w:p>
        </w:tc>
        <w:tc>
          <w:tcPr>
            <w:tcW w:w="910" w:type="dxa"/>
            <w:shd w:val="clear" w:color="auto" w:fill="auto"/>
            <w:vAlign w:val="center"/>
          </w:tcPr>
          <w:p>
            <w:pPr>
              <w:spacing w:line="360" w:lineRule="auto"/>
              <w:ind w:left="403" w:leftChars="192"/>
              <w:rPr>
                <w:rFonts w:hint="eastAsia" w:ascii="宋体" w:hAnsi="宋体" w:cs="宋体"/>
                <w:color w:val="000000"/>
                <w:kern w:val="0"/>
                <w:sz w:val="27"/>
                <w:szCs w:val="27"/>
                <w:lang w:val="en-US" w:eastAsia="zh-CN"/>
              </w:rPr>
            </w:pPr>
          </w:p>
        </w:tc>
        <w:tc>
          <w:tcPr>
            <w:tcW w:w="1447" w:type="dxa"/>
            <w:shd w:val="clear" w:color="auto" w:fill="auto"/>
            <w:vAlign w:val="center"/>
          </w:tcPr>
          <w:p>
            <w:pPr>
              <w:spacing w:line="360" w:lineRule="auto"/>
              <w:ind w:left="403" w:leftChars="192"/>
              <w:rPr>
                <w:rFonts w:hint="eastAsia" w:ascii="宋体" w:hAnsi="宋体" w:cs="宋体"/>
                <w:color w:val="000000"/>
                <w:kern w:val="0"/>
                <w:sz w:val="27"/>
                <w:szCs w:val="27"/>
                <w:lang w:val="en-US" w:eastAsia="zh-CN"/>
              </w:rPr>
            </w:pPr>
          </w:p>
        </w:tc>
      </w:tr>
    </w:tbl>
    <w:p>
      <w:pPr>
        <w:spacing w:line="360" w:lineRule="auto"/>
        <w:ind w:left="403" w:leftChars="192"/>
        <w:rPr>
          <w:rFonts w:hint="eastAsia" w:ascii="宋体" w:hAnsi="宋体" w:cs="宋体"/>
          <w:b/>
          <w:bCs/>
          <w:color w:val="000000"/>
          <w:kern w:val="0"/>
          <w:sz w:val="27"/>
          <w:szCs w:val="27"/>
          <w:lang w:val="en-US" w:eastAsia="zh-CN"/>
        </w:rPr>
      </w:pPr>
      <w:r>
        <w:rPr>
          <w:rFonts w:hint="eastAsia" w:ascii="宋体" w:hAnsi="宋体" w:cs="宋体"/>
          <w:b/>
          <w:bCs/>
          <w:color w:val="000000"/>
          <w:kern w:val="0"/>
          <w:sz w:val="27"/>
          <w:szCs w:val="27"/>
          <w:lang w:val="en-US" w:eastAsia="zh-CN"/>
        </w:rPr>
        <w:t>（三）培训要求：</w:t>
      </w:r>
    </w:p>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lang w:val="en-US" w:eastAsia="zh-CN"/>
        </w:rPr>
        <w:t>1.供应商</w:t>
      </w:r>
      <w:r>
        <w:rPr>
          <w:rFonts w:hint="eastAsia" w:ascii="宋体" w:hAnsi="宋体" w:cs="宋体"/>
          <w:color w:val="000000"/>
          <w:kern w:val="0"/>
          <w:sz w:val="27"/>
          <w:szCs w:val="27"/>
        </w:rPr>
        <w:t>必须上门免费提供业务受</w:t>
      </w:r>
      <w:bookmarkStart w:id="9" w:name="_GoBack"/>
      <w:bookmarkEnd w:id="9"/>
      <w:r>
        <w:rPr>
          <w:rFonts w:hint="eastAsia" w:ascii="宋体" w:hAnsi="宋体" w:cs="宋体"/>
          <w:color w:val="000000"/>
          <w:kern w:val="0"/>
          <w:sz w:val="27"/>
          <w:szCs w:val="27"/>
        </w:rPr>
        <w:t>理调度员的培训课程，同时须提供项目培训方案。</w:t>
      </w:r>
    </w:p>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对采购人的技术人员进行系统的使用、维护和保养培训，所有培训以中文进行。该培训将教会学员在日常和紧急情况下如何操作系统。</w:t>
      </w:r>
    </w:p>
    <w:p>
      <w:pPr>
        <w:spacing w:line="360" w:lineRule="auto"/>
        <w:ind w:left="403" w:leftChars="192"/>
        <w:rPr>
          <w:rFonts w:hint="eastAsia" w:ascii="宋体" w:hAnsi="宋体" w:cs="宋体"/>
          <w:color w:val="000000"/>
          <w:kern w:val="0"/>
          <w:sz w:val="27"/>
          <w:szCs w:val="27"/>
        </w:rPr>
      </w:pPr>
      <w:r>
        <w:rPr>
          <w:rFonts w:hint="eastAsia" w:ascii="宋体" w:hAnsi="宋体" w:cs="宋体"/>
          <w:color w:val="000000"/>
          <w:kern w:val="0"/>
          <w:sz w:val="27"/>
          <w:szCs w:val="27"/>
          <w:lang w:val="en-US" w:eastAsia="zh-CN"/>
        </w:rPr>
        <w:t>3.</w:t>
      </w:r>
      <w:r>
        <w:rPr>
          <w:rFonts w:hint="eastAsia" w:ascii="宋体" w:hAnsi="宋体" w:cs="宋体"/>
          <w:color w:val="000000"/>
          <w:kern w:val="0"/>
          <w:sz w:val="27"/>
          <w:szCs w:val="27"/>
        </w:rPr>
        <w:t>培训教员对所提供的产品具有熟练的操作和维修经验。在</w:t>
      </w:r>
      <w:r>
        <w:rPr>
          <w:rFonts w:hint="eastAsia" w:ascii="宋体" w:hAnsi="宋体" w:cs="宋体"/>
          <w:color w:val="000000"/>
          <w:kern w:val="0"/>
          <w:sz w:val="27"/>
          <w:szCs w:val="27"/>
          <w:lang w:val="en-US" w:eastAsia="zh-CN"/>
        </w:rPr>
        <w:t>项目验收</w:t>
      </w:r>
      <w:r>
        <w:rPr>
          <w:rFonts w:hint="eastAsia" w:ascii="宋体" w:hAnsi="宋体" w:cs="宋体"/>
          <w:color w:val="000000"/>
          <w:kern w:val="0"/>
          <w:sz w:val="27"/>
          <w:szCs w:val="27"/>
        </w:rPr>
        <w:t>之前为采购人技术人员进行现场培训，该培训包括正常操作程序和怎样处理紧急情况。在培训工作开始前向采购人免费提供所有中文培训资料，包括中文操作、维修手册，要求受训人员能够了解设备的基本结构、工作原理及操作程序，能进行实际操作和日常维护、排除一般故障。</w:t>
      </w:r>
    </w:p>
    <w:p>
      <w:pPr>
        <w:spacing w:line="360" w:lineRule="auto"/>
        <w:ind w:left="403" w:leftChars="192"/>
        <w:rPr>
          <w:rFonts w:hint="eastAsia" w:ascii="宋体" w:hAnsi="宋体" w:cs="宋体"/>
          <w:color w:val="000000"/>
          <w:kern w:val="0"/>
          <w:sz w:val="27"/>
          <w:szCs w:val="27"/>
          <w:lang w:val="en-US" w:eastAsia="zh-CN"/>
        </w:rPr>
      </w:pPr>
      <w:r>
        <w:rPr>
          <w:rFonts w:hint="eastAsia" w:ascii="宋体" w:hAnsi="宋体" w:cs="宋体"/>
          <w:b/>
          <w:bCs/>
          <w:color w:val="000000"/>
          <w:kern w:val="0"/>
          <w:sz w:val="27"/>
          <w:szCs w:val="27"/>
          <w:lang w:val="en-US" w:eastAsia="zh-CN"/>
        </w:rPr>
        <w:t>（四）售后服务要求：</w:t>
      </w:r>
    </w:p>
    <w:p>
      <w:pPr>
        <w:spacing w:line="360" w:lineRule="auto"/>
        <w:ind w:left="403" w:leftChars="192"/>
        <w:rPr>
          <w:rFonts w:hint="eastAsia"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1.制造商须在江西有固定的售后服务团队，能提供第二日上门服务，能提供每季度巡检。如需送原厂维修设备，一周内维修完毕并送达医院，期间可以拿备机过渡。</w:t>
      </w:r>
    </w:p>
    <w:p>
      <w:pPr>
        <w:spacing w:line="360" w:lineRule="auto"/>
        <w:ind w:left="403" w:leftChars="192"/>
        <w:rPr>
          <w:rFonts w:hint="eastAsia"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2.为保证设备使用的持续性，须提供预计投放终端之外的三台备用机。</w:t>
      </w:r>
    </w:p>
    <w:p>
      <w:pPr>
        <w:spacing w:line="360" w:lineRule="auto"/>
        <w:ind w:left="403" w:leftChars="192"/>
        <w:rPr>
          <w:rFonts w:hint="eastAsia"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3.整机保修1年（到货日期开始计算），附件保修一年（附件指:电池，电源适配器，数据线）。</w:t>
      </w:r>
    </w:p>
    <w:p>
      <w:pPr>
        <w:spacing w:line="360" w:lineRule="auto"/>
        <w:ind w:left="403" w:leftChars="192"/>
        <w:rPr>
          <w:rFonts w:hint="eastAsia"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4.在正常使用和维护条件下，因材料、工艺或制造等产品质量问题导致的性能故障，在保修期内，须按规定提供免费修理或更换。（包含人为的碎屏，花屏，触摸失灵，主板损坏，USB接口损坏，扫描失灵，不开机，不充电等）</w:t>
      </w:r>
    </w:p>
    <w:p>
      <w:pPr>
        <w:spacing w:line="360" w:lineRule="auto"/>
        <w:ind w:left="403" w:leftChars="192"/>
        <w:rPr>
          <w:rFonts w:hint="eastAsia"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5.从服务开始之日起，免费提供软件升级包服务（免费配合软件商适配，免费设备调试）。</w:t>
      </w:r>
    </w:p>
    <w:p>
      <w:pPr>
        <w:spacing w:line="360" w:lineRule="auto"/>
        <w:ind w:left="403" w:leftChars="192"/>
        <w:rPr>
          <w:rFonts w:hint="eastAsia"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6.在保修期内，如损坏程度严重，无法维修或该型号配件已停止供货的，须提供不低于原产品规格的产品更换。</w:t>
      </w:r>
    </w:p>
    <w:p>
      <w:pPr>
        <w:spacing w:line="360" w:lineRule="auto"/>
        <w:ind w:left="403" w:leftChars="192"/>
        <w:rPr>
          <w:rFonts w:hint="default"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7.须提供免费装机培训服务。</w:t>
      </w:r>
    </w:p>
    <w:p>
      <w:pPr>
        <w:spacing w:line="360" w:lineRule="auto"/>
        <w:ind w:firstLine="271" w:firstLineChars="100"/>
        <w:rPr>
          <w:rFonts w:hint="eastAsia" w:ascii="宋体" w:hAnsi="宋体" w:cs="宋体"/>
          <w:color w:val="000000"/>
          <w:kern w:val="0"/>
          <w:sz w:val="27"/>
          <w:szCs w:val="27"/>
          <w:lang w:val="en-US" w:eastAsia="zh-CN"/>
        </w:rPr>
      </w:pPr>
      <w:r>
        <w:rPr>
          <w:rFonts w:hint="eastAsia" w:ascii="宋体" w:hAnsi="宋体" w:cs="宋体"/>
          <w:b/>
          <w:bCs/>
          <w:color w:val="000000"/>
          <w:kern w:val="0"/>
          <w:sz w:val="27"/>
          <w:szCs w:val="27"/>
          <w:lang w:val="en-US" w:eastAsia="zh-CN"/>
        </w:rPr>
        <w:t>（五）服务期：</w:t>
      </w:r>
      <w:r>
        <w:rPr>
          <w:rFonts w:hint="eastAsia" w:ascii="宋体" w:hAnsi="宋体" w:cs="宋体"/>
          <w:color w:val="000000"/>
          <w:kern w:val="0"/>
          <w:sz w:val="27"/>
          <w:szCs w:val="27"/>
          <w:lang w:val="en-US" w:eastAsia="zh-CN"/>
        </w:rPr>
        <w:t>一年。</w:t>
      </w:r>
    </w:p>
    <w:p>
      <w:pPr>
        <w:spacing w:line="360" w:lineRule="auto"/>
        <w:ind w:firstLine="271" w:firstLineChars="100"/>
        <w:rPr>
          <w:rFonts w:hint="eastAsia" w:ascii="宋体" w:hAnsi="宋体" w:cs="宋体"/>
          <w:color w:val="000000"/>
          <w:kern w:val="0"/>
          <w:sz w:val="27"/>
          <w:szCs w:val="27"/>
          <w:lang w:val="en-US" w:eastAsia="zh-CN"/>
        </w:rPr>
      </w:pPr>
      <w:r>
        <w:rPr>
          <w:rFonts w:hint="eastAsia" w:ascii="宋体" w:hAnsi="宋体" w:cs="宋体"/>
          <w:b/>
          <w:bCs/>
          <w:color w:val="000000"/>
          <w:kern w:val="0"/>
          <w:sz w:val="27"/>
          <w:szCs w:val="27"/>
          <w:lang w:val="en-US" w:eastAsia="zh-CN"/>
        </w:rPr>
        <w:t>（六）</w:t>
      </w:r>
      <w:r>
        <w:rPr>
          <w:rFonts w:hint="eastAsia" w:ascii="宋体" w:hAnsi="宋体" w:cs="宋体"/>
          <w:color w:val="000000"/>
          <w:kern w:val="0"/>
          <w:sz w:val="27"/>
          <w:szCs w:val="27"/>
          <w:lang w:val="en-US" w:eastAsia="zh-CN"/>
        </w:rPr>
        <w:t>为保障移动护士站服务项目在服务期内平稳运行，包含上述要求的所有服务。采购人根据累计投放的移动护士站终端数量按年向中标人支付综合服务费用。移动护士站服务项目运营期内，每台移动护士站终端每年的运营预算单价￥______元/月（人民币：______________），预计投放终端数量：______台，服务期为一年。服务期内合计预算__________元（人民币：_____________）。</w:t>
      </w:r>
    </w:p>
    <w:p>
      <w:pPr>
        <w:pStyle w:val="2"/>
        <w:rPr>
          <w:rFonts w:hint="default"/>
          <w:lang w:val="en-US" w:eastAsia="zh-CN"/>
        </w:rPr>
      </w:pPr>
    </w:p>
    <w:p/>
    <w:p>
      <w:pPr>
        <w:pStyle w:val="2"/>
      </w:pPr>
    </w:p>
    <w:p/>
    <w:p>
      <w:pPr>
        <w:pStyle w:val="2"/>
      </w:pPr>
    </w:p>
    <w:p/>
    <w:p>
      <w:pPr>
        <w:pStyle w:val="2"/>
        <w:spacing w:before="0" w:after="0" w:line="460" w:lineRule="exact"/>
        <w:ind w:firstLine="0"/>
        <w:rPr>
          <w:color w:val="000000"/>
        </w:rPr>
      </w:pPr>
      <w:r>
        <w:rPr>
          <w:rFonts w:hint="eastAsia"/>
          <w:color w:val="000000"/>
        </w:rPr>
        <w:t>三、法定代表人授权书</w:t>
      </w:r>
      <w:bookmarkEnd w:id="5"/>
      <w:bookmarkEnd w:id="6"/>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（响应供应商法定代表人名称）是</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（被授权人姓名及身份证代码）</w:t>
      </w:r>
      <w:r>
        <w:rPr>
          <w:rFonts w:hint="eastAsia" w:ascii="宋体" w:hAnsi="宋体"/>
          <w:color w:val="000000"/>
          <w:sz w:val="27"/>
          <w:szCs w:val="27"/>
          <w:u w:val="single"/>
        </w:rPr>
        <w:t xml:space="preserve">               </w:t>
      </w:r>
      <w:r>
        <w:rPr>
          <w:rFonts w:hint="eastAsia" w:ascii="宋体" w:hAnsi="宋体"/>
          <w:color w:val="000000"/>
          <w:sz w:val="27"/>
          <w:szCs w:val="27"/>
        </w:rPr>
        <w:t>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pStyle w:val="2"/>
        <w:tabs>
          <w:tab w:val="center" w:pos="5076"/>
          <w:tab w:val="left" w:pos="8445"/>
        </w:tabs>
        <w:ind w:firstLine="0"/>
        <w:rPr>
          <w:color w:val="000000"/>
          <w:kern w:val="0"/>
        </w:rPr>
      </w:pPr>
    </w:p>
    <w:p>
      <w:pPr>
        <w:widowControl/>
        <w:jc w:val="left"/>
        <w:rPr>
          <w:rFonts w:ascii="Arial" w:hAnsi="Arial" w:eastAsia="黑体"/>
          <w:b/>
          <w:bCs/>
          <w:color w:val="000000"/>
          <w:kern w:val="0"/>
          <w:sz w:val="32"/>
          <w:szCs w:val="32"/>
        </w:rPr>
      </w:pPr>
      <w:r>
        <w:rPr>
          <w:color w:val="000000"/>
          <w:kern w:val="0"/>
        </w:rPr>
        <w:br w:type="page"/>
      </w:r>
    </w:p>
    <w:p>
      <w:pPr>
        <w:pStyle w:val="2"/>
        <w:tabs>
          <w:tab w:val="center" w:pos="5076"/>
          <w:tab w:val="left" w:pos="8445"/>
        </w:tabs>
        <w:ind w:firstLine="0"/>
        <w:rPr>
          <w:rFonts w:hAnsi="宋体" w:cs="宋体"/>
          <w:color w:val="000000"/>
          <w:kern w:val="0"/>
          <w:sz w:val="27"/>
          <w:szCs w:val="27"/>
        </w:rPr>
      </w:pPr>
      <w:r>
        <w:rPr>
          <w:rFonts w:hint="eastAsia"/>
          <w:color w:val="000000"/>
          <w:kern w:val="0"/>
        </w:rPr>
        <w:t>四、响应供应商关于无重大违法记录书面声明函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olor w:val="000000"/>
          <w:sz w:val="27"/>
          <w:szCs w:val="27"/>
        </w:rPr>
        <w:t xml:space="preserve">                   </w:t>
      </w: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r>
        <w:rPr>
          <w:rFonts w:hint="eastAsia" w:ascii="宋体" w:hAnsi="宋体"/>
          <w:color w:val="000000"/>
          <w:sz w:val="27"/>
          <w:szCs w:val="27"/>
        </w:rPr>
        <w:t xml:space="preserve">                         </w:t>
      </w:r>
    </w:p>
    <w:p>
      <w:pPr>
        <w:spacing w:line="480" w:lineRule="auto"/>
        <w:ind w:right="540"/>
        <w:jc w:val="center"/>
        <w:rPr>
          <w:rFonts w:ascii="宋体" w:hAnsi="宋体"/>
          <w:color w:val="000000"/>
          <w:sz w:val="27"/>
          <w:szCs w:val="27"/>
        </w:rPr>
      </w:pPr>
      <w:r>
        <w:rPr>
          <w:rFonts w:hint="eastAsia" w:ascii="宋体" w:hAnsi="宋体"/>
          <w:color w:val="000000"/>
          <w:sz w:val="27"/>
          <w:szCs w:val="27"/>
        </w:rPr>
        <w:t xml:space="preserve">      </w:t>
      </w: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r>
        <w:rPr>
          <w:rFonts w:hint="eastAsia" w:ascii="宋体" w:hAnsi="宋体"/>
          <w:color w:val="000000"/>
          <w:sz w:val="27"/>
          <w:szCs w:val="27"/>
        </w:rPr>
        <w:t xml:space="preserve"> </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2"/>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7"/>
    <w:bookmarkEnd w:id="8"/>
    <w:p>
      <w:pPr>
        <w:pStyle w:val="2"/>
        <w:rPr>
          <w:kern w:val="0"/>
        </w:rPr>
      </w:pPr>
      <w:r>
        <w:rPr>
          <w:rFonts w:hint="eastAsia"/>
          <w:kern w:val="0"/>
        </w:rPr>
        <w:t>五、响应供应商资格证明文件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pStyle w:val="2"/>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六、其他证明文件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7</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7</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NjBmNDk3NmI4ZTViMWE0ZTU0MzlhYWE3ZmIxNzI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5A8"/>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67ECD"/>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08E5"/>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5E3"/>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161"/>
    <w:rsid w:val="00222663"/>
    <w:rsid w:val="00222DD1"/>
    <w:rsid w:val="00222FA1"/>
    <w:rsid w:val="002236C4"/>
    <w:rsid w:val="002236ED"/>
    <w:rsid w:val="0022384E"/>
    <w:rsid w:val="00223961"/>
    <w:rsid w:val="00223B55"/>
    <w:rsid w:val="002243BE"/>
    <w:rsid w:val="002244A5"/>
    <w:rsid w:val="00224571"/>
    <w:rsid w:val="00225669"/>
    <w:rsid w:val="00225908"/>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87D"/>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07FA4"/>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0B89"/>
    <w:rsid w:val="004B144B"/>
    <w:rsid w:val="004B174A"/>
    <w:rsid w:val="004B1B60"/>
    <w:rsid w:val="004B1F3E"/>
    <w:rsid w:val="004B3251"/>
    <w:rsid w:val="004B3BAF"/>
    <w:rsid w:val="004B3E00"/>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5F3D"/>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1FF7"/>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955"/>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634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52A"/>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C49"/>
    <w:rsid w:val="00936DB8"/>
    <w:rsid w:val="00937518"/>
    <w:rsid w:val="00937813"/>
    <w:rsid w:val="0094121A"/>
    <w:rsid w:val="00941B54"/>
    <w:rsid w:val="009423B7"/>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7C"/>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939"/>
    <w:rsid w:val="00B07D11"/>
    <w:rsid w:val="00B07E48"/>
    <w:rsid w:val="00B07F4D"/>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4F9"/>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3E0F"/>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F9334A"/>
    <w:rsid w:val="05C068EB"/>
    <w:rsid w:val="079A5E3E"/>
    <w:rsid w:val="0A072DB6"/>
    <w:rsid w:val="0BAE2C4D"/>
    <w:rsid w:val="0D3B4EBB"/>
    <w:rsid w:val="103D6CFD"/>
    <w:rsid w:val="11F31059"/>
    <w:rsid w:val="132B2696"/>
    <w:rsid w:val="16657A77"/>
    <w:rsid w:val="188F4DBC"/>
    <w:rsid w:val="18D936A0"/>
    <w:rsid w:val="217C7510"/>
    <w:rsid w:val="23174F59"/>
    <w:rsid w:val="2429109C"/>
    <w:rsid w:val="261332F5"/>
    <w:rsid w:val="27454B8F"/>
    <w:rsid w:val="28DA2E5A"/>
    <w:rsid w:val="29524E24"/>
    <w:rsid w:val="2B1731BC"/>
    <w:rsid w:val="2B925CFA"/>
    <w:rsid w:val="2CEB0C53"/>
    <w:rsid w:val="2F565CA1"/>
    <w:rsid w:val="30BA3B8A"/>
    <w:rsid w:val="3104304C"/>
    <w:rsid w:val="312C634A"/>
    <w:rsid w:val="33F60296"/>
    <w:rsid w:val="35666A5B"/>
    <w:rsid w:val="36572D3F"/>
    <w:rsid w:val="36584057"/>
    <w:rsid w:val="37072544"/>
    <w:rsid w:val="385F690C"/>
    <w:rsid w:val="38C509BB"/>
    <w:rsid w:val="3A47424F"/>
    <w:rsid w:val="3B3C3A5E"/>
    <w:rsid w:val="3E5E698D"/>
    <w:rsid w:val="42705968"/>
    <w:rsid w:val="4311712F"/>
    <w:rsid w:val="44C06983"/>
    <w:rsid w:val="453779AD"/>
    <w:rsid w:val="45E8282B"/>
    <w:rsid w:val="46A2470C"/>
    <w:rsid w:val="478E1645"/>
    <w:rsid w:val="501C40BF"/>
    <w:rsid w:val="549C5253"/>
    <w:rsid w:val="5B204327"/>
    <w:rsid w:val="5DC14E07"/>
    <w:rsid w:val="60395667"/>
    <w:rsid w:val="62490B14"/>
    <w:rsid w:val="636721B0"/>
    <w:rsid w:val="63896C89"/>
    <w:rsid w:val="67302D64"/>
    <w:rsid w:val="67344343"/>
    <w:rsid w:val="67492634"/>
    <w:rsid w:val="693966D8"/>
    <w:rsid w:val="697D0373"/>
    <w:rsid w:val="73440526"/>
    <w:rsid w:val="7551129F"/>
    <w:rsid w:val="76684AD5"/>
    <w:rsid w:val="77E33B21"/>
    <w:rsid w:val="789559D4"/>
    <w:rsid w:val="79B772FD"/>
    <w:rsid w:val="7A692C8E"/>
    <w:rsid w:val="7B88662C"/>
    <w:rsid w:val="7BAD1EBA"/>
    <w:rsid w:val="7EEC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8"/>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39"/>
    <w:pPr>
      <w:ind w:left="1260"/>
      <w:jc w:val="left"/>
    </w:pPr>
    <w:rPr>
      <w:sz w:val="20"/>
      <w:szCs w:val="20"/>
    </w:rPr>
  </w:style>
  <w:style w:type="paragraph" w:styleId="6">
    <w:name w:val="Document Map"/>
    <w:basedOn w:val="1"/>
    <w:link w:val="60"/>
    <w:qFormat/>
    <w:uiPriority w:val="0"/>
    <w:rPr>
      <w:rFonts w:ascii="宋体"/>
      <w:sz w:val="18"/>
      <w:szCs w:val="18"/>
    </w:rPr>
  </w:style>
  <w:style w:type="paragraph" w:styleId="7">
    <w:name w:val="annotation text"/>
    <w:basedOn w:val="1"/>
    <w:link w:val="44"/>
    <w:semiHidden/>
    <w:qFormat/>
    <w:uiPriority w:val="99"/>
    <w:pPr>
      <w:jc w:val="left"/>
    </w:pPr>
    <w:rPr>
      <w:szCs w:val="20"/>
    </w:rPr>
  </w:style>
  <w:style w:type="paragraph" w:styleId="8">
    <w:name w:val="Body Text"/>
    <w:basedOn w:val="1"/>
    <w:link w:val="42"/>
    <w:qFormat/>
    <w:uiPriority w:val="0"/>
    <w:pPr>
      <w:spacing w:after="120"/>
    </w:pPr>
    <w:rPr>
      <w:sz w:val="24"/>
      <w:szCs w:val="20"/>
    </w:rPr>
  </w:style>
  <w:style w:type="paragraph" w:styleId="9">
    <w:name w:val="toc 5"/>
    <w:basedOn w:val="1"/>
    <w:next w:val="1"/>
    <w:semiHidden/>
    <w:qFormat/>
    <w:uiPriority w:val="39"/>
    <w:pPr>
      <w:ind w:left="840"/>
      <w:jc w:val="left"/>
    </w:pPr>
    <w:rPr>
      <w:sz w:val="20"/>
      <w:szCs w:val="20"/>
    </w:rPr>
  </w:style>
  <w:style w:type="paragraph" w:styleId="10">
    <w:name w:val="toc 3"/>
    <w:basedOn w:val="1"/>
    <w:next w:val="1"/>
    <w:semiHidden/>
    <w:qFormat/>
    <w:uiPriority w:val="39"/>
    <w:pPr>
      <w:ind w:left="420"/>
      <w:jc w:val="left"/>
    </w:pPr>
    <w:rPr>
      <w:sz w:val="20"/>
      <w:szCs w:val="20"/>
    </w:rPr>
  </w:style>
  <w:style w:type="paragraph" w:styleId="11">
    <w:name w:val="Plain Text"/>
    <w:basedOn w:val="1"/>
    <w:link w:val="37"/>
    <w:qFormat/>
    <w:uiPriority w:val="0"/>
    <w:rPr>
      <w:rFonts w:ascii="宋体" w:hAnsi="Courier New"/>
      <w:szCs w:val="20"/>
    </w:rPr>
  </w:style>
  <w:style w:type="paragraph" w:styleId="12">
    <w:name w:val="toc 8"/>
    <w:basedOn w:val="1"/>
    <w:next w:val="1"/>
    <w:semiHidden/>
    <w:qFormat/>
    <w:uiPriority w:val="39"/>
    <w:pPr>
      <w:ind w:left="1470"/>
      <w:jc w:val="left"/>
    </w:pPr>
    <w:rPr>
      <w:sz w:val="20"/>
      <w:szCs w:val="20"/>
    </w:rPr>
  </w:style>
  <w:style w:type="paragraph" w:styleId="13">
    <w:name w:val="Date"/>
    <w:basedOn w:val="1"/>
    <w:next w:val="1"/>
    <w:link w:val="49"/>
    <w:qFormat/>
    <w:uiPriority w:val="99"/>
    <w:pPr>
      <w:ind w:left="100" w:leftChars="2500"/>
    </w:pPr>
  </w:style>
  <w:style w:type="paragraph" w:styleId="14">
    <w:name w:val="Balloon Text"/>
    <w:basedOn w:val="1"/>
    <w:link w:val="41"/>
    <w:semiHidden/>
    <w:qFormat/>
    <w:uiPriority w:val="99"/>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240" w:after="120"/>
      <w:jc w:val="left"/>
    </w:pPr>
    <w:rPr>
      <w:b/>
      <w:bCs/>
      <w:sz w:val="20"/>
      <w:szCs w:val="20"/>
    </w:rPr>
  </w:style>
  <w:style w:type="paragraph" w:styleId="18">
    <w:name w:val="toc 4"/>
    <w:basedOn w:val="1"/>
    <w:next w:val="1"/>
    <w:semiHidden/>
    <w:qFormat/>
    <w:uiPriority w:val="39"/>
    <w:pPr>
      <w:ind w:left="630"/>
      <w:jc w:val="left"/>
    </w:pPr>
    <w:rPr>
      <w:sz w:val="20"/>
      <w:szCs w:val="20"/>
    </w:rPr>
  </w:style>
  <w:style w:type="paragraph" w:styleId="19">
    <w:name w:val="toc 6"/>
    <w:basedOn w:val="1"/>
    <w:next w:val="1"/>
    <w:semiHidden/>
    <w:qFormat/>
    <w:uiPriority w:val="39"/>
    <w:pPr>
      <w:ind w:left="1050"/>
      <w:jc w:val="left"/>
    </w:pPr>
    <w:rPr>
      <w:sz w:val="20"/>
      <w:szCs w:val="20"/>
    </w:rPr>
  </w:style>
  <w:style w:type="paragraph" w:styleId="20">
    <w:name w:val="toc 2"/>
    <w:basedOn w:val="1"/>
    <w:next w:val="1"/>
    <w:qFormat/>
    <w:uiPriority w:val="39"/>
    <w:pPr>
      <w:spacing w:before="120"/>
      <w:ind w:left="210"/>
      <w:jc w:val="left"/>
    </w:pPr>
    <w:rPr>
      <w:i/>
      <w:iCs/>
      <w:sz w:val="20"/>
      <w:szCs w:val="20"/>
    </w:rPr>
  </w:style>
  <w:style w:type="paragraph" w:styleId="21">
    <w:name w:val="toc 9"/>
    <w:basedOn w:val="1"/>
    <w:next w:val="1"/>
    <w:semiHidden/>
    <w:qFormat/>
    <w:uiPriority w:val="39"/>
    <w:pPr>
      <w:ind w:left="1680"/>
      <w:jc w:val="left"/>
    </w:pPr>
    <w:rPr>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qFormat/>
    <w:uiPriority w:val="99"/>
    <w:rPr>
      <w:rFonts w:cs="Times New Roman"/>
    </w:rPr>
  </w:style>
  <w:style w:type="character" w:styleId="28">
    <w:name w:val="FollowedHyperlink"/>
    <w:qFormat/>
    <w:uiPriority w:val="0"/>
    <w:rPr>
      <w:color w:val="800080"/>
      <w:u w:val="none"/>
    </w:rPr>
  </w:style>
  <w:style w:type="character" w:styleId="29">
    <w:name w:val="Hyperlink"/>
    <w:basedOn w:val="25"/>
    <w:qFormat/>
    <w:uiPriority w:val="99"/>
    <w:rPr>
      <w:color w:val="0000FF"/>
      <w:u w:val="none"/>
    </w:rPr>
  </w:style>
  <w:style w:type="character" w:customStyle="1" w:styleId="30">
    <w:name w:val="Plain Text Char1"/>
    <w:semiHidden/>
    <w:qFormat/>
    <w:uiPriority w:val="99"/>
    <w:rPr>
      <w:rFonts w:ascii="宋体" w:hAnsi="Courier New" w:cs="Courier New"/>
      <w:kern w:val="2"/>
      <w:sz w:val="21"/>
      <w:szCs w:val="21"/>
    </w:rPr>
  </w:style>
  <w:style w:type="character" w:customStyle="1" w:styleId="31">
    <w:name w:val="hang1"/>
    <w:qFormat/>
    <w:uiPriority w:val="0"/>
    <w:rPr>
      <w:rFonts w:cs="Times New Roman"/>
    </w:rPr>
  </w:style>
  <w:style w:type="character" w:customStyle="1" w:styleId="32">
    <w:name w:val="纯文本 Char1"/>
    <w:qFormat/>
    <w:locked/>
    <w:uiPriority w:val="0"/>
    <w:rPr>
      <w:rFonts w:ascii="宋体" w:hAnsi="Courier New" w:eastAsia="宋体"/>
      <w:kern w:val="2"/>
      <w:sz w:val="21"/>
      <w:lang w:val="en-US" w:eastAsia="zh-CN"/>
    </w:rPr>
  </w:style>
  <w:style w:type="character" w:customStyle="1" w:styleId="33">
    <w:name w:val="Body Text Char1"/>
    <w:semiHidden/>
    <w:qFormat/>
    <w:uiPriority w:val="99"/>
    <w:rPr>
      <w:kern w:val="2"/>
      <w:sz w:val="21"/>
      <w:szCs w:val="24"/>
    </w:rPr>
  </w:style>
  <w:style w:type="character" w:customStyle="1" w:styleId="34">
    <w:name w:val="页眉 字符"/>
    <w:link w:val="16"/>
    <w:semiHidden/>
    <w:qFormat/>
    <w:uiPriority w:val="99"/>
    <w:rPr>
      <w:kern w:val="2"/>
      <w:sz w:val="18"/>
      <w:szCs w:val="18"/>
    </w:rPr>
  </w:style>
  <w:style w:type="character" w:customStyle="1" w:styleId="35">
    <w:name w:val="正文文本 Char1"/>
    <w:qFormat/>
    <w:uiPriority w:val="0"/>
    <w:rPr>
      <w:kern w:val="2"/>
      <w:sz w:val="24"/>
    </w:rPr>
  </w:style>
  <w:style w:type="character" w:customStyle="1" w:styleId="36">
    <w:name w:val="普通文字 Char2"/>
    <w:qFormat/>
    <w:locked/>
    <w:uiPriority w:val="0"/>
    <w:rPr>
      <w:rFonts w:ascii="宋体" w:hAnsi="Courier New" w:eastAsia="宋体"/>
    </w:rPr>
  </w:style>
  <w:style w:type="character" w:customStyle="1" w:styleId="37">
    <w:name w:val="纯文本 字符"/>
    <w:link w:val="11"/>
    <w:qFormat/>
    <w:locked/>
    <w:uiPriority w:val="0"/>
    <w:rPr>
      <w:rFonts w:ascii="宋体" w:hAnsi="Courier New" w:eastAsia="宋体"/>
      <w:kern w:val="2"/>
      <w:sz w:val="21"/>
      <w:lang w:val="en-US" w:eastAsia="zh-CN"/>
    </w:rPr>
  </w:style>
  <w:style w:type="character" w:customStyle="1" w:styleId="38">
    <w:name w:val="标题 2 字符"/>
    <w:link w:val="2"/>
    <w:qFormat/>
    <w:locked/>
    <w:uiPriority w:val="0"/>
    <w:rPr>
      <w:rFonts w:ascii="Arial" w:hAnsi="Arial" w:eastAsia="黑体"/>
      <w:b/>
      <w:kern w:val="2"/>
      <w:sz w:val="32"/>
      <w:lang w:val="en-US" w:eastAsia="zh-CN"/>
    </w:rPr>
  </w:style>
  <w:style w:type="character" w:customStyle="1" w:styleId="39">
    <w:name w:val="Char Char2"/>
    <w:qFormat/>
    <w:uiPriority w:val="0"/>
    <w:rPr>
      <w:rFonts w:ascii="Arial" w:hAnsi="Arial" w:eastAsia="黑体"/>
      <w:b/>
      <w:kern w:val="2"/>
      <w:sz w:val="32"/>
      <w:lang w:val="en-US" w:eastAsia="zh-CN"/>
    </w:rPr>
  </w:style>
  <w:style w:type="character" w:customStyle="1" w:styleId="40">
    <w:name w:val="页脚 字符"/>
    <w:link w:val="15"/>
    <w:qFormat/>
    <w:locked/>
    <w:uiPriority w:val="99"/>
    <w:rPr>
      <w:kern w:val="2"/>
      <w:sz w:val="18"/>
    </w:rPr>
  </w:style>
  <w:style w:type="character" w:customStyle="1" w:styleId="41">
    <w:name w:val="批注框文本 字符"/>
    <w:link w:val="14"/>
    <w:semiHidden/>
    <w:qFormat/>
    <w:uiPriority w:val="99"/>
    <w:rPr>
      <w:kern w:val="2"/>
      <w:sz w:val="16"/>
      <w:szCs w:val="0"/>
    </w:rPr>
  </w:style>
  <w:style w:type="character" w:customStyle="1" w:styleId="42">
    <w:name w:val="正文文本 字符"/>
    <w:link w:val="8"/>
    <w:qFormat/>
    <w:locked/>
    <w:uiPriority w:val="0"/>
    <w:rPr>
      <w:kern w:val="2"/>
      <w:sz w:val="24"/>
    </w:rPr>
  </w:style>
  <w:style w:type="character" w:customStyle="1" w:styleId="43">
    <w:name w:val="标题 2 Char1"/>
    <w:qFormat/>
    <w:uiPriority w:val="0"/>
    <w:rPr>
      <w:rFonts w:ascii="Arial" w:hAnsi="Arial" w:eastAsia="黑体"/>
      <w:b/>
      <w:kern w:val="2"/>
      <w:sz w:val="32"/>
      <w:lang w:val="en-US" w:eastAsia="zh-CN"/>
    </w:rPr>
  </w:style>
  <w:style w:type="character" w:customStyle="1" w:styleId="44">
    <w:name w:val="批注文字 字符"/>
    <w:link w:val="7"/>
    <w:semiHidden/>
    <w:qFormat/>
    <w:uiPriority w:val="99"/>
    <w:rPr>
      <w:kern w:val="2"/>
      <w:sz w:val="21"/>
      <w:szCs w:val="24"/>
    </w:rPr>
  </w:style>
  <w:style w:type="character" w:customStyle="1" w:styleId="45">
    <w:name w:val="标题 1 字符"/>
    <w:link w:val="3"/>
    <w:qFormat/>
    <w:locked/>
    <w:uiPriority w:val="9"/>
    <w:rPr>
      <w:rFonts w:eastAsia="宋体"/>
      <w:b/>
      <w:kern w:val="44"/>
      <w:sz w:val="44"/>
      <w:lang w:val="en-US" w:eastAsia="zh-CN"/>
    </w:rPr>
  </w:style>
  <w:style w:type="character" w:customStyle="1" w:styleId="46">
    <w:name w:val="bold1"/>
    <w:qFormat/>
    <w:uiPriority w:val="0"/>
    <w:rPr>
      <w:b/>
    </w:rPr>
  </w:style>
  <w:style w:type="character" w:customStyle="1" w:styleId="47">
    <w:name w:val="标题 3 字符"/>
    <w:link w:val="4"/>
    <w:qFormat/>
    <w:uiPriority w:val="0"/>
    <w:rPr>
      <w:b/>
      <w:bCs/>
      <w:kern w:val="2"/>
      <w:sz w:val="32"/>
      <w:szCs w:val="32"/>
    </w:rPr>
  </w:style>
  <w:style w:type="character" w:customStyle="1" w:styleId="48">
    <w:name w:val="apple-converted-space"/>
    <w:qFormat/>
    <w:uiPriority w:val="0"/>
    <w:rPr>
      <w:rFonts w:cs="Times New Roman"/>
    </w:rPr>
  </w:style>
  <w:style w:type="character" w:customStyle="1" w:styleId="49">
    <w:name w:val="日期 字符"/>
    <w:link w:val="13"/>
    <w:qFormat/>
    <w:locked/>
    <w:uiPriority w:val="99"/>
    <w:rPr>
      <w:kern w:val="2"/>
      <w:sz w:val="24"/>
    </w:rPr>
  </w:style>
  <w:style w:type="paragraph" w:customStyle="1" w:styleId="50">
    <w:name w:val="Char Char"/>
    <w:basedOn w:val="1"/>
    <w:qFormat/>
    <w:uiPriority w:val="0"/>
    <w:pPr>
      <w:widowControl/>
      <w:spacing w:after="160" w:line="240" w:lineRule="exact"/>
      <w:jc w:val="left"/>
    </w:pPr>
  </w:style>
  <w:style w:type="paragraph" w:customStyle="1" w:styleId="51">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样式 样式 标题 3 + 加粗 + 加粗"/>
    <w:basedOn w:val="1"/>
    <w:qFormat/>
    <w:uiPriority w:val="0"/>
    <w:pPr>
      <w:tabs>
        <w:tab w:val="left" w:pos="420"/>
      </w:tabs>
      <w:ind w:left="420" w:hanging="420"/>
    </w:pPr>
  </w:style>
  <w:style w:type="paragraph" w:customStyle="1" w:styleId="5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列出段落2"/>
    <w:basedOn w:val="1"/>
    <w:qFormat/>
    <w:uiPriority w:val="0"/>
    <w:pPr>
      <w:ind w:firstLine="420" w:firstLineChars="200"/>
    </w:pPr>
  </w:style>
  <w:style w:type="paragraph" w:customStyle="1" w:styleId="56">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8">
    <w:name w:val="列出段落11"/>
    <w:basedOn w:val="1"/>
    <w:qFormat/>
    <w:uiPriority w:val="34"/>
    <w:pPr>
      <w:ind w:firstLine="420" w:firstLineChars="200"/>
    </w:pPr>
  </w:style>
  <w:style w:type="paragraph" w:customStyle="1" w:styleId="59">
    <w:name w:val="默认段落字体 Para Char Char Char Char Char Char Char Char Char1 Char"/>
    <w:basedOn w:val="1"/>
    <w:qFormat/>
    <w:uiPriority w:val="0"/>
    <w:rPr>
      <w:rFonts w:ascii="Tahoma" w:hAnsi="Tahoma"/>
      <w:sz w:val="24"/>
      <w:szCs w:val="20"/>
    </w:rPr>
  </w:style>
  <w:style w:type="character" w:customStyle="1" w:styleId="60">
    <w:name w:val="文档结构图 字符"/>
    <w:basedOn w:val="25"/>
    <w:link w:val="6"/>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2368</Words>
  <Characters>2604</Characters>
  <Lines>33</Lines>
  <Paragraphs>9</Paragraphs>
  <TotalTime>1</TotalTime>
  <ScaleCrop>false</ScaleCrop>
  <LinksUpToDate>false</LinksUpToDate>
  <CharactersWithSpaces>2912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郭</cp:lastModifiedBy>
  <cp:lastPrinted>2017-07-17T00:55:00Z</cp:lastPrinted>
  <dcterms:modified xsi:type="dcterms:W3CDTF">2023-02-22T00:36:32Z</dcterms:modified>
  <dc:title>南康市环宇招标代理有限公司</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82A95C6FC47B49D99A07B263E19449D4</vt:lpwstr>
  </property>
</Properties>
</file>