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3"/>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项目名称：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pPr>
        <w:pStyle w:val="3"/>
        <w:ind w:firstLine="0"/>
        <w:rPr>
          <w:rFonts w:ascii="黑体"/>
          <w:kern w:val="0"/>
        </w:rPr>
      </w:pPr>
      <w:bookmarkStart w:id="1" w:name="_Toc485736230"/>
      <w:r>
        <w:rPr>
          <w:rFonts w:hint="eastAsia"/>
          <w:kern w:val="0"/>
        </w:rPr>
        <w:t>一、系统咨询响应函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pStyle w:val="3"/>
        <w:ind w:firstLine="0"/>
        <w:rPr>
          <w:kern w:val="0"/>
        </w:rPr>
      </w:pPr>
      <w:bookmarkStart w:id="2" w:name="_Toc480191544"/>
      <w:bookmarkStart w:id="3" w:name="_Toc485736233"/>
      <w:bookmarkStart w:id="4" w:name="_Toc265316642"/>
      <w:r>
        <w:rPr>
          <w:rFonts w:hint="eastAsia"/>
          <w:kern w:val="0"/>
        </w:rPr>
        <w:t>二、</w:t>
      </w:r>
      <w:r>
        <w:rPr>
          <w:rFonts w:hint="eastAsia" w:asciiTheme="minorEastAsia" w:hAnsiTheme="minorEastAsia" w:eastAsiaTheme="minorEastAsia"/>
          <w:kern w:val="0"/>
        </w:rPr>
        <w:t>项</w:t>
      </w:r>
      <w:r>
        <w:rPr>
          <w:rFonts w:hint="eastAsia"/>
          <w:kern w:val="0"/>
        </w:rPr>
        <w:t>目名称、参数要求、价格</w:t>
      </w:r>
    </w:p>
    <w:bookmarkEnd w:id="2"/>
    <w:bookmarkEnd w:id="3"/>
    <w:p>
      <w:bookmarkStart w:id="5" w:name="_Toc519068587"/>
      <w:bookmarkEnd w:id="5"/>
      <w:bookmarkStart w:id="6" w:name="_Toc485736243"/>
      <w:bookmarkStart w:id="7" w:name="_Toc479257748"/>
      <w:bookmarkStart w:id="8" w:name="_Toc516969105"/>
      <w:bookmarkStart w:id="9" w:name="_Toc485736236"/>
    </w:p>
    <w:p>
      <w:pPr>
        <w:spacing w:line="360" w:lineRule="auto"/>
        <w:contextualSpacing/>
        <w:rPr>
          <w:rFonts w:hint="eastAsia" w:eastAsiaTheme="minorEastAsia"/>
          <w:b/>
          <w:bCs/>
          <w:sz w:val="28"/>
          <w:szCs w:val="28"/>
          <w:lang w:eastAsia="zh-CN"/>
        </w:rPr>
      </w:pPr>
      <w:r>
        <w:rPr>
          <w:rFonts w:hint="eastAsia"/>
          <w:b/>
          <w:bCs/>
          <w:sz w:val="28"/>
          <w:szCs w:val="28"/>
          <w:lang w:val="en-US" w:eastAsia="zh-CN"/>
        </w:rPr>
        <w:t>1</w:t>
      </w:r>
      <w:r>
        <w:rPr>
          <w:rFonts w:hint="eastAsia"/>
          <w:b/>
          <w:bCs/>
          <w:sz w:val="28"/>
          <w:szCs w:val="28"/>
        </w:rPr>
        <w:t>、采购</w:t>
      </w:r>
      <w:r>
        <w:rPr>
          <w:rFonts w:hint="eastAsia"/>
          <w:b/>
          <w:bCs/>
          <w:sz w:val="28"/>
          <w:szCs w:val="28"/>
          <w:lang w:eastAsia="zh-CN"/>
        </w:rPr>
        <w:t>项目</w:t>
      </w:r>
    </w:p>
    <w:tbl>
      <w:tblPr>
        <w:tblStyle w:val="2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5"/>
        <w:gridCol w:w="477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2155" w:type="dxa"/>
            <w:vAlign w:val="bottom"/>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序号</w:t>
            </w:r>
          </w:p>
        </w:tc>
        <w:tc>
          <w:tcPr>
            <w:tcW w:w="4779" w:type="dxa"/>
            <w:vAlign w:val="center"/>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名称</w:t>
            </w:r>
          </w:p>
        </w:tc>
        <w:tc>
          <w:tcPr>
            <w:tcW w:w="1586" w:type="dxa"/>
            <w:vAlign w:val="bottom"/>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155" w:type="dxa"/>
            <w:vAlign w:val="bottom"/>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1</w:t>
            </w:r>
          </w:p>
        </w:tc>
        <w:tc>
          <w:tcPr>
            <w:tcW w:w="4779" w:type="dxa"/>
            <w:vAlign w:val="bottom"/>
          </w:tcPr>
          <w:p>
            <w:pPr>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基于大数据绩效运营分析项目</w:t>
            </w:r>
          </w:p>
        </w:tc>
        <w:tc>
          <w:tcPr>
            <w:tcW w:w="1586" w:type="dxa"/>
            <w:vAlign w:val="bottom"/>
          </w:tcPr>
          <w:p>
            <w:pPr>
              <w:spacing w:line="360" w:lineRule="auto"/>
              <w:contextualSpacing/>
              <w:rPr>
                <w:rFonts w:ascii="宋体" w:hAnsi="宋体" w:eastAsia="宋体" w:cs="Times New Roman"/>
                <w:bCs/>
                <w:sz w:val="24"/>
                <w:szCs w:val="24"/>
              </w:rPr>
            </w:pPr>
            <w:r>
              <w:rPr>
                <w:rFonts w:ascii="宋体" w:hAnsi="宋体" w:eastAsia="宋体" w:cs="Times New Roman"/>
                <w:bCs/>
                <w:sz w:val="24"/>
                <w:szCs w:val="24"/>
              </w:rPr>
              <w:t>1</w:t>
            </w:r>
            <w:r>
              <w:rPr>
                <w:rFonts w:hint="eastAsia" w:ascii="宋体" w:hAnsi="宋体" w:eastAsia="宋体" w:cs="Times New Roman"/>
                <w:bCs/>
                <w:sz w:val="24"/>
                <w:szCs w:val="24"/>
              </w:rPr>
              <w:t>年（2</w:t>
            </w:r>
            <w:r>
              <w:rPr>
                <w:rFonts w:ascii="宋体" w:hAnsi="宋体" w:eastAsia="宋体" w:cs="Times New Roman"/>
                <w:bCs/>
                <w:sz w:val="24"/>
                <w:szCs w:val="24"/>
              </w:rPr>
              <w:t>02</w:t>
            </w:r>
            <w:r>
              <w:rPr>
                <w:rFonts w:hint="eastAsia" w:ascii="宋体" w:hAnsi="宋体" w:cs="Times New Roman"/>
                <w:bCs/>
                <w:sz w:val="24"/>
                <w:szCs w:val="24"/>
                <w:lang w:val="en-US" w:eastAsia="zh-CN"/>
              </w:rPr>
              <w:t>3</w:t>
            </w:r>
            <w:r>
              <w:rPr>
                <w:rFonts w:hint="eastAsia" w:ascii="宋体" w:hAnsi="宋体" w:eastAsia="宋体" w:cs="Times New Roman"/>
                <w:bCs/>
                <w:sz w:val="24"/>
                <w:szCs w:val="24"/>
              </w:rPr>
              <w:t>年度数据）</w:t>
            </w:r>
          </w:p>
        </w:tc>
      </w:tr>
    </w:tbl>
    <w:p>
      <w:pPr>
        <w:spacing w:line="360" w:lineRule="auto"/>
        <w:contextualSpacing/>
        <w:rPr>
          <w:b/>
          <w:bCs/>
          <w:sz w:val="28"/>
          <w:szCs w:val="28"/>
        </w:rPr>
      </w:pPr>
      <w:r>
        <w:rPr>
          <w:rFonts w:hint="eastAsia"/>
          <w:b/>
          <w:bCs/>
          <w:sz w:val="28"/>
          <w:szCs w:val="28"/>
          <w:lang w:val="en-US" w:eastAsia="zh-CN"/>
        </w:rPr>
        <w:t>2</w:t>
      </w:r>
      <w:r>
        <w:rPr>
          <w:rFonts w:hint="eastAsia"/>
          <w:b/>
          <w:bCs/>
          <w:sz w:val="28"/>
          <w:szCs w:val="28"/>
        </w:rPr>
        <w:t>、</w:t>
      </w:r>
      <w:r>
        <w:rPr>
          <w:rFonts w:hint="eastAsia"/>
          <w:b/>
          <w:bCs/>
          <w:sz w:val="28"/>
          <w:szCs w:val="28"/>
          <w:lang w:eastAsia="zh-CN"/>
        </w:rPr>
        <w:t>目标及</w:t>
      </w:r>
      <w:r>
        <w:rPr>
          <w:rFonts w:hint="eastAsia"/>
          <w:b/>
          <w:bCs/>
          <w:sz w:val="28"/>
          <w:szCs w:val="28"/>
        </w:rPr>
        <w:t>要求</w:t>
      </w:r>
    </w:p>
    <w:p>
      <w:pPr>
        <w:spacing w:line="360" w:lineRule="auto"/>
        <w:ind w:firstLine="480" w:firstLineChars="200"/>
        <w:contextualSpacing/>
        <w:rPr>
          <w:rFonts w:ascii="宋体" w:hAnsi="宋体" w:eastAsia="宋体" w:cs="Arial"/>
          <w:color w:val="000000"/>
          <w:kern w:val="0"/>
          <w:sz w:val="24"/>
          <w:szCs w:val="24"/>
        </w:rPr>
      </w:pPr>
      <w:r>
        <w:rPr>
          <w:rFonts w:hint="eastAsia" w:ascii="宋体" w:hAnsi="宋体" w:eastAsia="宋体" w:cs="Arial"/>
          <w:color w:val="000000"/>
          <w:kern w:val="0"/>
          <w:sz w:val="24"/>
          <w:szCs w:val="24"/>
        </w:rPr>
        <w:t>城市公立医院综合改革是全面深化医药卫生体制改革的一项重要任务。国务院办公厅在总结试点城市先进经验的基础上，相继出台了《国务院办公厅关于城市公立医院综合改革试点的指导意见》（国办发</w:t>
      </w:r>
      <w:r>
        <w:rPr>
          <w:rFonts w:ascii="宋体" w:hAnsi="宋体" w:eastAsia="宋体" w:cs="Arial"/>
          <w:color w:val="000000"/>
          <w:kern w:val="0"/>
          <w:sz w:val="24"/>
          <w:szCs w:val="24"/>
        </w:rPr>
        <w:t>[2015]38号）、《关于加强公立医疗机构绩效评价的指导意见》（国卫人发[2015]94号）、《关于建立现代医院管理制度的指导意见》（国办发[2017]67号）以及《关于加强三级公立医院绩效考核工作的意见》（国办发[2019]4号）等文件，多次明确提出卫生计生行政部门要建立以公益性为导向的考核评价机制，突出功能定位、职责履行、费用</w:t>
      </w:r>
      <w:r>
        <w:rPr>
          <w:rFonts w:hint="eastAsia" w:ascii="宋体" w:hAnsi="宋体" w:eastAsia="宋体" w:cs="Arial"/>
          <w:color w:val="000000"/>
          <w:kern w:val="0"/>
          <w:sz w:val="24"/>
          <w:szCs w:val="24"/>
        </w:rPr>
        <w:t>控制、运行绩效、财务管理、成本控制和社会满意度等考核指标，定期组织公立医院绩效考核以及院长年度和任期目标责任考核，考核结果向社会公开，并与医院财政补助、医保支付、工资总额以及院长薪酬、任免、奖惩等挂钩，建立激励约束机制。基于大数据绩效运营分析项目包含基于大数据质量 分析和大数据绩效方案。</w:t>
      </w:r>
    </w:p>
    <w:p>
      <w:pPr>
        <w:spacing w:line="360" w:lineRule="auto"/>
        <w:contextualSpacing/>
        <w:rPr>
          <w:b/>
          <w:sz w:val="28"/>
          <w:szCs w:val="28"/>
        </w:rPr>
      </w:pPr>
      <w:r>
        <w:rPr>
          <w:rFonts w:hint="eastAsia"/>
          <w:b/>
          <w:sz w:val="28"/>
          <w:szCs w:val="28"/>
          <w:lang w:val="en-US" w:eastAsia="zh-CN"/>
        </w:rPr>
        <w:t>3</w:t>
      </w:r>
      <w:r>
        <w:rPr>
          <w:rFonts w:hint="eastAsia"/>
          <w:b/>
          <w:sz w:val="28"/>
          <w:szCs w:val="28"/>
        </w:rPr>
        <w:t>、</w:t>
      </w:r>
      <w:r>
        <w:rPr>
          <w:rFonts w:hint="eastAsia"/>
          <w:b/>
          <w:sz w:val="28"/>
          <w:szCs w:val="28"/>
          <w:lang w:eastAsia="zh-CN"/>
        </w:rPr>
        <w:t>采购需求清单</w:t>
      </w:r>
      <w:r>
        <w:rPr>
          <w:rFonts w:hint="eastAsia"/>
          <w:b/>
          <w:sz w:val="28"/>
          <w:szCs w:val="28"/>
        </w:rPr>
        <w:t>：</w:t>
      </w:r>
    </w:p>
    <w:tbl>
      <w:tblPr>
        <w:tblStyle w:val="24"/>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97"/>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997" w:type="dxa"/>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模块</w:t>
            </w:r>
          </w:p>
        </w:tc>
        <w:tc>
          <w:tcPr>
            <w:tcW w:w="7943" w:type="dxa"/>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997" w:type="dxa"/>
            <w:vMerge w:val="restart"/>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基于大数据</w:t>
            </w:r>
          </w:p>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质量管理分析报（产品）</w:t>
            </w: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《基于病案首页填报和质控》-点对点根据科室实际数据进行辅导与分析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医院历史数据清洗，病区科室数据对照整理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省级简报数据清洗、病种数据整理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质量管理报模块选择沟通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5</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质量管理报解读辅导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历史数据清洗、出院病区和绩效科室归属整理、医生所属绩效考科室整理、转科病例整理等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7</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制定出具体目标绩效考核体系，并按照季度半年度和年度为医院直接测算出绩效考核结果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月度</w:t>
            </w:r>
            <w:r>
              <w:rPr>
                <w:rFonts w:ascii="宋体" w:hAnsi="宋体" w:eastAsia="宋体" w:cs="宋体"/>
                <w:color w:val="000000"/>
                <w:kern w:val="0"/>
                <w:sz w:val="24"/>
                <w:szCs w:val="24"/>
              </w:rPr>
              <w:t>绩效考核</w:t>
            </w:r>
            <w:r>
              <w:rPr>
                <w:rFonts w:hint="eastAsia" w:ascii="宋体" w:hAnsi="宋体" w:eastAsia="宋体" w:cs="宋体"/>
                <w:color w:val="000000"/>
                <w:kern w:val="0"/>
                <w:sz w:val="24"/>
                <w:szCs w:val="24"/>
              </w:rPr>
              <w:t>计算和发布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全院及各科室整体情况</w:t>
            </w:r>
            <w:r>
              <w:rPr>
                <w:rFonts w:hint="eastAsia" w:ascii="宋体" w:hAnsi="宋体" w:eastAsia="宋体" w:cs="宋体"/>
                <w:color w:val="000000"/>
                <w:kern w:val="0"/>
                <w:sz w:val="24"/>
                <w:szCs w:val="24"/>
              </w:rPr>
              <w:t>分析：</w:t>
            </w:r>
          </w:p>
          <w:p>
            <w:pPr>
              <w:widowControl/>
              <w:numPr>
                <w:ilvl w:val="0"/>
                <w:numId w:val="1"/>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全院医疗质量及安全指标数值与排名分析（人次量、D</w:t>
            </w:r>
            <w:r>
              <w:rPr>
                <w:rFonts w:ascii="宋体" w:hAnsi="宋体" w:eastAsia="宋体" w:cs="宋体"/>
                <w:color w:val="000000"/>
                <w:kern w:val="0"/>
                <w:sz w:val="24"/>
                <w:szCs w:val="24"/>
              </w:rPr>
              <w:t>RG</w:t>
            </w:r>
            <w:r>
              <w:rPr>
                <w:rFonts w:hint="eastAsia" w:ascii="宋体" w:hAnsi="宋体" w:eastAsia="宋体" w:cs="宋体"/>
                <w:color w:val="000000"/>
                <w:kern w:val="0"/>
                <w:sz w:val="24"/>
                <w:szCs w:val="24"/>
              </w:rPr>
              <w:t>总量、C</w:t>
            </w:r>
            <w:r>
              <w:rPr>
                <w:rFonts w:ascii="宋体" w:hAnsi="宋体" w:eastAsia="宋体" w:cs="宋体"/>
                <w:color w:val="000000"/>
                <w:kern w:val="0"/>
                <w:sz w:val="24"/>
                <w:szCs w:val="24"/>
              </w:rPr>
              <w:t>MI</w:t>
            </w:r>
            <w:r>
              <w:rPr>
                <w:rFonts w:hint="eastAsia" w:ascii="宋体" w:hAnsi="宋体" w:eastAsia="宋体" w:cs="宋体"/>
                <w:color w:val="000000"/>
                <w:kern w:val="0"/>
                <w:sz w:val="24"/>
                <w:szCs w:val="24"/>
              </w:rPr>
              <w:t>、组数和低风险死亡率等）；</w:t>
            </w:r>
          </w:p>
          <w:p>
            <w:pPr>
              <w:widowControl/>
              <w:numPr>
                <w:ilvl w:val="0"/>
                <w:numId w:val="1"/>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全院效率运营指标数值与排名分析（平均住院天数、平均住院费用、平均药费、药占比，平均耗材费、耗占比、时间指数和费用指数等）；</w:t>
            </w:r>
          </w:p>
          <w:p>
            <w:pPr>
              <w:widowControl/>
              <w:numPr>
                <w:ilvl w:val="0"/>
                <w:numId w:val="1"/>
              </w:numPr>
              <w:jc w:val="left"/>
              <w:rPr>
                <w:rFonts w:ascii="宋体" w:hAnsi="宋体" w:eastAsia="宋体" w:cs="宋体"/>
                <w:color w:val="000000"/>
                <w:kern w:val="0"/>
                <w:sz w:val="24"/>
                <w:szCs w:val="24"/>
              </w:rPr>
            </w:pPr>
            <w:r>
              <w:rPr>
                <w:rFonts w:ascii="宋体" w:hAnsi="宋体" w:eastAsia="宋体" w:cs="宋体"/>
                <w:color w:val="000000"/>
                <w:kern w:val="0"/>
                <w:sz w:val="24"/>
                <w:szCs w:val="24"/>
              </w:rPr>
              <w:t>各科室综合指标数据</w:t>
            </w:r>
            <w:r>
              <w:rPr>
                <w:rFonts w:hint="eastAsia" w:ascii="宋体" w:hAnsi="宋体" w:eastAsia="宋体" w:cs="宋体"/>
                <w:color w:val="000000"/>
                <w:kern w:val="0"/>
                <w:sz w:val="24"/>
                <w:szCs w:val="24"/>
              </w:rPr>
              <w:t>分析：各科室的时间和费用指数与平台算法不同。平台中对院内各科室的时间和费用指数是按照本院数据为总体，即该科室的效率是相对于院内其他科室效率进行对比的。本算法中科室时间和费用指数是将科室的效率评价放在样本医院范围内进行评价，评价结果更有意义，更具对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10</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同比环比增长率分析</w:t>
            </w:r>
            <w:r>
              <w:rPr>
                <w:rFonts w:hint="eastAsia" w:ascii="宋体" w:hAnsi="宋体" w:eastAsia="宋体" w:cs="宋体"/>
                <w:color w:val="000000"/>
                <w:kern w:val="0"/>
                <w:sz w:val="24"/>
                <w:szCs w:val="24"/>
              </w:rPr>
              <w:t>：</w:t>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医疗质量及安全指标增长率分析</w:t>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效率运营指标增长率分析</w:t>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各科室环比增长率（月度）</w:t>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各科室同比增长率（月度）</w:t>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各科室环比增长率（季度）</w:t>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p>
          <w:p>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各科室同比增长率（季度）</w:t>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r>
              <w:rPr>
                <w:rFonts w:ascii="宋体" w:hAnsi="宋体" w:eastAsia="宋体" w:cs="宋体"/>
                <w:color w:val="000000"/>
                <w:kern w:val="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11</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病种同比增长率分析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分析疑难</w:t>
            </w:r>
            <w:r>
              <w:rPr>
                <w:rFonts w:ascii="宋体" w:hAnsi="宋体" w:eastAsia="宋体" w:cs="宋体"/>
                <w:color w:val="000000"/>
                <w:kern w:val="0"/>
                <w:sz w:val="24"/>
                <w:szCs w:val="24"/>
              </w:rPr>
              <w:t>DRG组对比2022年的人次量同比增长情况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12</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病种运营结构分析</w:t>
            </w:r>
            <w:r>
              <w:rPr>
                <w:rFonts w:hint="eastAsia" w:ascii="宋体" w:hAnsi="宋体" w:eastAsia="宋体" w:cs="宋体"/>
                <w:color w:val="000000"/>
                <w:kern w:val="0"/>
                <w:sz w:val="24"/>
                <w:szCs w:val="24"/>
              </w:rPr>
              <w:t>：</w:t>
            </w:r>
          </w:p>
          <w:p>
            <w:pPr>
              <w:widowControl/>
              <w:numPr>
                <w:ilvl w:val="0"/>
                <w:numId w:val="3"/>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分析医院及各科室主要病种；</w:t>
            </w:r>
          </w:p>
          <w:p>
            <w:pPr>
              <w:widowControl/>
              <w:numPr>
                <w:ilvl w:val="0"/>
                <w:numId w:val="3"/>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主要病种可以按照人次量</w:t>
            </w:r>
            <w:r>
              <w:rPr>
                <w:rFonts w:ascii="宋体" w:hAnsi="宋体" w:eastAsia="宋体" w:cs="宋体"/>
                <w:color w:val="000000"/>
                <w:kern w:val="0"/>
                <w:sz w:val="24"/>
                <w:szCs w:val="24"/>
              </w:rPr>
              <w:t>/平均住院天数/平均住院费用/平均药费/药占比/平均耗材费/耗占比多个维度进行排序。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13</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RW分组结构分析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主要分析医院及各科室主要</w:t>
            </w:r>
            <w:r>
              <w:rPr>
                <w:rFonts w:ascii="宋体" w:hAnsi="宋体" w:eastAsia="宋体" w:cs="宋体"/>
                <w:color w:val="000000"/>
                <w:kern w:val="0"/>
                <w:sz w:val="24"/>
                <w:szCs w:val="24"/>
              </w:rPr>
              <w:t>RW分组数量</w:t>
            </w:r>
            <w:r>
              <w:rPr>
                <w:rFonts w:hint="eastAsia" w:ascii="宋体" w:hAnsi="宋体" w:eastAsia="宋体" w:cs="宋体"/>
                <w:color w:val="000000"/>
                <w:kern w:val="0"/>
                <w:sz w:val="24"/>
                <w:szCs w:val="24"/>
              </w:rPr>
              <w:t>的</w:t>
            </w:r>
            <w:r>
              <w:rPr>
                <w:rFonts w:ascii="宋体" w:hAnsi="宋体" w:eastAsia="宋体" w:cs="宋体"/>
                <w:color w:val="000000"/>
                <w:kern w:val="0"/>
                <w:sz w:val="24"/>
                <w:szCs w:val="24"/>
              </w:rPr>
              <w:t>对比变化。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14</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优劣势病组分析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将本</w:t>
            </w:r>
            <w:r>
              <w:rPr>
                <w:rFonts w:ascii="宋体" w:hAnsi="宋体" w:eastAsia="宋体" w:cs="宋体"/>
                <w:color w:val="000000"/>
                <w:kern w:val="0"/>
                <w:sz w:val="24"/>
                <w:szCs w:val="24"/>
              </w:rPr>
              <w:t>疑难DRG组与</w:t>
            </w:r>
            <w:r>
              <w:rPr>
                <w:rFonts w:hint="eastAsia" w:ascii="宋体" w:hAnsi="宋体" w:eastAsia="宋体" w:cs="宋体"/>
                <w:color w:val="000000"/>
                <w:kern w:val="0"/>
                <w:sz w:val="24"/>
                <w:szCs w:val="24"/>
              </w:rPr>
              <w:t>同期进行比对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15</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缺失疑难病组明细</w:t>
            </w:r>
            <w:r>
              <w:rPr>
                <w:rFonts w:hint="eastAsia" w:ascii="宋体" w:hAnsi="宋体" w:eastAsia="宋体" w:cs="宋体"/>
                <w:color w:val="000000"/>
                <w:kern w:val="0"/>
                <w:sz w:val="24"/>
                <w:szCs w:val="24"/>
              </w:rPr>
              <w:t>分析：</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本统计分析主要帮助医院了解缺失疑难</w:t>
            </w:r>
            <w:r>
              <w:rPr>
                <w:rFonts w:ascii="宋体" w:hAnsi="宋体" w:eastAsia="宋体" w:cs="宋体"/>
                <w:color w:val="000000"/>
                <w:kern w:val="0"/>
                <w:sz w:val="24"/>
                <w:szCs w:val="24"/>
              </w:rPr>
              <w:t>DRG组，为发展院内亚专科提供依据。</w:t>
            </w:r>
            <w:r>
              <w:rPr>
                <w:rFonts w:hint="eastAsia" w:ascii="宋体" w:hAnsi="宋体" w:eastAsia="宋体" w:cs="宋体"/>
                <w:color w:val="000000"/>
                <w:kern w:val="0"/>
                <w:sz w:val="24"/>
                <w:szCs w:val="24"/>
              </w:rPr>
              <w:t>根据实际情况，调整对</w:t>
            </w:r>
            <w:r>
              <w:rPr>
                <w:rFonts w:ascii="宋体" w:hAnsi="宋体" w:eastAsia="宋体" w:cs="宋体"/>
                <w:color w:val="000000"/>
                <w:kern w:val="0"/>
                <w:sz w:val="24"/>
                <w:szCs w:val="24"/>
              </w:rPr>
              <w:t>RW≥2的疑难病例缺失病组</w:t>
            </w:r>
            <w:r>
              <w:rPr>
                <w:rFonts w:hint="eastAsia" w:ascii="宋体" w:hAnsi="宋体" w:eastAsia="宋体" w:cs="宋体"/>
                <w:color w:val="000000"/>
                <w:kern w:val="0"/>
                <w:sz w:val="24"/>
                <w:szCs w:val="24"/>
              </w:rPr>
              <w:t>的关注度</w:t>
            </w:r>
            <w:r>
              <w:rPr>
                <w:rFonts w:ascii="宋体" w:hAnsi="宋体" w:eastAsia="宋体" w:cs="宋体"/>
                <w:color w:val="000000"/>
                <w:kern w:val="0"/>
                <w:sz w:val="24"/>
                <w:szCs w:val="24"/>
              </w:rPr>
              <w:t>，对0≤RW&lt;0.5的病组</w:t>
            </w:r>
            <w:r>
              <w:rPr>
                <w:rFonts w:hint="eastAsia" w:ascii="宋体" w:hAnsi="宋体" w:eastAsia="宋体" w:cs="宋体"/>
                <w:color w:val="000000"/>
                <w:kern w:val="0"/>
                <w:sz w:val="24"/>
                <w:szCs w:val="24"/>
              </w:rPr>
              <w:t>是否该</w:t>
            </w:r>
            <w:r>
              <w:rPr>
                <w:rFonts w:ascii="宋体" w:hAnsi="宋体" w:eastAsia="宋体" w:cs="宋体"/>
                <w:color w:val="000000"/>
                <w:kern w:val="0"/>
                <w:sz w:val="24"/>
                <w:szCs w:val="24"/>
              </w:rPr>
              <w:t>逐渐减弱诊疗量。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16</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术种同比增长率分析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本数据主要查看各科室三四级手术例数对比往年</w:t>
            </w:r>
            <w:r>
              <w:rPr>
                <w:rFonts w:ascii="宋体" w:hAnsi="宋体" w:eastAsia="宋体" w:cs="宋体"/>
                <w:color w:val="000000"/>
                <w:kern w:val="0"/>
                <w:sz w:val="24"/>
                <w:szCs w:val="24"/>
              </w:rPr>
              <w:t>的同比增长情况。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17</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优劣势术种分析</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将本院三四级手术与同期手术例数进行对比。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18</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缺失术种明细</w:t>
            </w:r>
            <w:r>
              <w:rPr>
                <w:rFonts w:hint="eastAsia" w:ascii="宋体" w:hAnsi="宋体" w:eastAsia="宋体" w:cs="宋体"/>
                <w:color w:val="000000"/>
                <w:kern w:val="0"/>
                <w:sz w:val="24"/>
                <w:szCs w:val="24"/>
              </w:rPr>
              <w:t>分析：</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帮助医院了解缺失四级手术，为发展高难度水平手术提供依据。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r>
              <w:rPr>
                <w:rFonts w:ascii="宋体" w:hAnsi="宋体" w:eastAsia="宋体" w:cs="宋体"/>
                <w:b/>
                <w:bCs/>
                <w:color w:val="000000"/>
                <w:kern w:val="0"/>
                <w:sz w:val="24"/>
                <w:szCs w:val="24"/>
              </w:rPr>
              <w:t>9</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平均住院天数偏离度</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帮助医院了解本院平均住院天数与历史同期对比是否合理。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20</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平均住院总费用偏离度</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帮助医院了解本院平均住院总费用与历史同期对比是否合理。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21</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平均药费偏离度</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帮助医院了解本院平均药费与历史同期对比是否合理。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22</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ascii="宋体" w:hAnsi="宋体" w:eastAsia="宋体" w:cs="宋体"/>
                <w:color w:val="000000"/>
                <w:kern w:val="0"/>
                <w:sz w:val="24"/>
                <w:szCs w:val="24"/>
              </w:rPr>
              <w:t>平均耗材费偏离度</w:t>
            </w:r>
            <w:r>
              <w:rPr>
                <w:rFonts w:hint="eastAsia" w:ascii="宋体" w:hAnsi="宋体" w:eastAsia="宋体" w:cs="宋体"/>
                <w:color w:val="000000"/>
                <w:kern w:val="0"/>
                <w:sz w:val="24"/>
                <w:szCs w:val="24"/>
              </w:rPr>
              <w:t>：</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帮助医院了解本院平均耗材费与历史同期对比是否合理。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23</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科室运营费用指标分析：</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分析本科室指数与历史同期该费用指标指数均值的距离。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271" w:type="dxa"/>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t>24</w:t>
            </w:r>
          </w:p>
        </w:tc>
        <w:tc>
          <w:tcPr>
            <w:tcW w:w="997" w:type="dxa"/>
            <w:vMerge w:val="continue"/>
            <w:vAlign w:val="center"/>
          </w:tcPr>
          <w:p>
            <w:pPr>
              <w:widowControl/>
              <w:jc w:val="center"/>
              <w:rPr>
                <w:rFonts w:ascii="宋体" w:hAnsi="宋体" w:eastAsia="宋体" w:cs="宋体"/>
                <w:b/>
                <w:bCs/>
                <w:color w:val="000000"/>
                <w:kern w:val="0"/>
                <w:sz w:val="24"/>
                <w:szCs w:val="24"/>
              </w:rPr>
            </w:pPr>
          </w:p>
        </w:tc>
        <w:tc>
          <w:tcPr>
            <w:tcW w:w="7943"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各科室综合评价排名：</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在</w:t>
            </w:r>
            <w:r>
              <w:rPr>
                <w:rFonts w:ascii="宋体" w:hAnsi="宋体" w:eastAsia="宋体" w:cs="宋体"/>
                <w:color w:val="000000"/>
                <w:kern w:val="0"/>
                <w:sz w:val="24"/>
                <w:szCs w:val="24"/>
              </w:rPr>
              <w:t>DRGs平台中选择具有代表性的5项指标，对各个科室进行排名。按照各指标在三级综合医院赋予不同的权重值（以下权重可更改）。</w:t>
            </w:r>
            <w:r>
              <w:rPr>
                <w:rFonts w:hint="eastAsia" w:ascii="宋体" w:hAnsi="宋体" w:eastAsia="宋体" w:cs="宋体"/>
                <w:color w:val="000000"/>
                <w:kern w:val="0"/>
                <w:sz w:val="24"/>
                <w:szCs w:val="24"/>
              </w:rPr>
              <w:t>采用</w:t>
            </w:r>
            <w:r>
              <w:rPr>
                <w:rFonts w:ascii="宋体" w:hAnsi="宋体" w:eastAsia="宋体" w:cs="宋体"/>
                <w:color w:val="000000"/>
                <w:kern w:val="0"/>
                <w:sz w:val="24"/>
                <w:szCs w:val="24"/>
              </w:rPr>
              <w:t>TOPSIS法，对科室按照相应的指标权重进行综合排名。其结果依据各科室与本医院范围内最优指标数值的接近程度C值大小作为排名依据，C值越接近1，说明综合质量结果越优。</w:t>
            </w:r>
          </w:p>
        </w:tc>
      </w:tr>
    </w:tbl>
    <w:p>
      <w:pPr>
        <w:spacing w:line="312" w:lineRule="auto"/>
        <w:contextualSpacing/>
        <w:rPr>
          <w:rFonts w:ascii="宋体" w:hAnsi="宋体" w:eastAsia="宋体"/>
          <w:sz w:val="24"/>
          <w:szCs w:val="24"/>
        </w:rPr>
      </w:pPr>
      <w:bookmarkStart w:id="10" w:name="_GoBack"/>
      <w:bookmarkEnd w:id="10"/>
    </w:p>
    <w:p>
      <w:pPr>
        <w:spacing w:line="360" w:lineRule="auto"/>
        <w:contextualSpacing/>
        <w:rPr>
          <w:rFonts w:hint="eastAsia" w:ascii="宋体" w:hAnsi="宋体" w:cs="Arial" w:eastAsiaTheme="minorEastAsia"/>
          <w:color w:val="000000"/>
          <w:kern w:val="0"/>
          <w:sz w:val="24"/>
          <w:szCs w:val="24"/>
          <w:lang w:eastAsia="zh-CN"/>
        </w:rPr>
      </w:pPr>
      <w:r>
        <w:rPr>
          <w:rFonts w:hint="eastAsia"/>
          <w:b/>
          <w:sz w:val="28"/>
          <w:szCs w:val="28"/>
          <w:lang w:val="en-US" w:eastAsia="zh-CN"/>
        </w:rPr>
        <w:t>4</w:t>
      </w:r>
      <w:r>
        <w:rPr>
          <w:rFonts w:hint="eastAsia"/>
          <w:b/>
          <w:sz w:val="28"/>
          <w:szCs w:val="28"/>
          <w:lang w:eastAsia="zh-CN"/>
        </w:rPr>
        <w:t>、</w:t>
      </w:r>
      <w:r>
        <w:rPr>
          <w:rFonts w:hint="eastAsia"/>
          <w:b/>
          <w:sz w:val="28"/>
          <w:szCs w:val="28"/>
        </w:rPr>
        <w:t>售后服务</w:t>
      </w:r>
      <w:r>
        <w:rPr>
          <w:rFonts w:hint="eastAsia"/>
          <w:b/>
          <w:sz w:val="28"/>
          <w:szCs w:val="28"/>
          <w:lang w:eastAsia="zh-CN"/>
        </w:rPr>
        <w:t>需求</w:t>
      </w:r>
    </w:p>
    <w:p>
      <w:pPr>
        <w:spacing w:line="360" w:lineRule="auto"/>
        <w:contextualSpacing/>
        <w:rPr>
          <w:rFonts w:ascii="宋体" w:hAnsi="宋体" w:eastAsia="宋体" w:cs="Arial"/>
          <w:color w:val="000000"/>
          <w:kern w:val="0"/>
          <w:sz w:val="24"/>
          <w:szCs w:val="24"/>
        </w:rPr>
      </w:pPr>
      <w:r>
        <w:rPr>
          <w:rFonts w:hint="eastAsia" w:ascii="宋体" w:hAnsi="宋体" w:eastAsia="宋体" w:cs="Arial"/>
          <w:color w:val="000000"/>
          <w:kern w:val="0"/>
          <w:sz w:val="24"/>
          <w:szCs w:val="24"/>
        </w:rPr>
        <w:t>故障报修的响应时间：周一至周五9:00～17:00期间为1小时，周六、周日或法定节假日为2小时。</w:t>
      </w:r>
    </w:p>
    <w:p>
      <w:pPr>
        <w:spacing w:line="360" w:lineRule="auto"/>
        <w:contextualSpacing/>
        <w:rPr>
          <w:rFonts w:ascii="宋体" w:hAnsi="宋体" w:eastAsia="宋体" w:cs="Arial"/>
          <w:color w:val="000000"/>
          <w:kern w:val="0"/>
          <w:sz w:val="24"/>
          <w:szCs w:val="24"/>
        </w:rPr>
      </w:pPr>
      <w:r>
        <w:rPr>
          <w:rFonts w:hint="eastAsia" w:ascii="宋体" w:hAnsi="宋体" w:eastAsia="宋体" w:cs="Arial"/>
          <w:color w:val="000000"/>
          <w:kern w:val="0"/>
          <w:sz w:val="24"/>
          <w:szCs w:val="24"/>
        </w:rPr>
        <w:t>1</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若电话中无法解决，2小时内通过网络远程进指导。</w:t>
      </w:r>
    </w:p>
    <w:p>
      <w:pPr>
        <w:spacing w:line="360" w:lineRule="auto"/>
        <w:contextualSpacing/>
        <w:rPr>
          <w:rFonts w:ascii="宋体" w:hAnsi="宋体" w:eastAsia="宋体" w:cs="Arial"/>
          <w:color w:val="000000"/>
          <w:kern w:val="0"/>
          <w:sz w:val="24"/>
          <w:szCs w:val="24"/>
        </w:rPr>
      </w:pPr>
      <w:r>
        <w:rPr>
          <w:rFonts w:hint="eastAsia" w:ascii="宋体" w:hAnsi="宋体" w:eastAsia="宋体" w:cs="Arial"/>
          <w:color w:val="000000"/>
          <w:kern w:val="0"/>
          <w:sz w:val="24"/>
          <w:szCs w:val="24"/>
        </w:rPr>
        <w:t>2</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在合同签订1年内保障甲方可正常获取服务。</w:t>
      </w:r>
    </w:p>
    <w:p/>
    <w:p/>
    <w:p/>
    <w:p/>
    <w:p/>
    <w:p/>
    <w:p/>
    <w:p/>
    <w:p/>
    <w:p/>
    <w:p>
      <w:pPr>
        <w:pStyle w:val="3"/>
        <w:spacing w:before="0" w:after="0" w:line="460" w:lineRule="exact"/>
        <w:ind w:firstLine="0"/>
        <w:rPr>
          <w:color w:val="000000"/>
        </w:rPr>
      </w:pPr>
      <w:r>
        <w:rPr>
          <w:rFonts w:hint="eastAsia"/>
          <w:color w:val="000000"/>
        </w:rPr>
        <w:t>三、法定代表人授权书</w:t>
      </w:r>
      <w:bookmarkEnd w:id="6"/>
      <w:bookmarkEnd w:id="7"/>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widowControl/>
        <w:spacing w:before="100" w:beforeAutospacing="1" w:after="100" w:afterAutospacing="1" w:line="480" w:lineRule="auto"/>
        <w:jc w:val="center"/>
        <w:rPr>
          <w:color w:val="000000"/>
          <w:kern w:val="0"/>
        </w:rPr>
      </w:pPr>
    </w:p>
    <w:p>
      <w:pPr>
        <w:pStyle w:val="3"/>
        <w:tabs>
          <w:tab w:val="center" w:pos="5076"/>
          <w:tab w:val="left" w:pos="8445"/>
        </w:tabs>
        <w:ind w:firstLine="0"/>
        <w:rPr>
          <w:color w:val="000000"/>
          <w:kern w:val="0"/>
        </w:rPr>
      </w:pPr>
      <w:r>
        <w:rPr>
          <w:rFonts w:hint="eastAsia"/>
          <w:color w:val="000000"/>
          <w:kern w:val="0"/>
        </w:rPr>
        <w:t>四、产品授权书</w:t>
      </w: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color w:val="000000"/>
          <w:kern w:val="0"/>
        </w:rPr>
      </w:pPr>
    </w:p>
    <w:p>
      <w:pPr>
        <w:pStyle w:val="3"/>
        <w:tabs>
          <w:tab w:val="center" w:pos="5076"/>
          <w:tab w:val="left" w:pos="8445"/>
        </w:tabs>
        <w:ind w:firstLine="0"/>
        <w:rPr>
          <w:rFonts w:hAnsi="宋体" w:cs="宋体"/>
          <w:color w:val="000000"/>
          <w:kern w:val="0"/>
          <w:sz w:val="27"/>
          <w:szCs w:val="27"/>
        </w:rPr>
      </w:pPr>
      <w:r>
        <w:rPr>
          <w:rFonts w:hint="eastAsia"/>
          <w:color w:val="000000"/>
          <w:kern w:val="0"/>
        </w:rPr>
        <w:t>五、响应供应商关于无重大违法记录书面声明函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3"/>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8"/>
    <w:bookmarkEnd w:id="9"/>
    <w:p>
      <w:pPr>
        <w:pStyle w:val="3"/>
        <w:rPr>
          <w:kern w:val="0"/>
        </w:rPr>
      </w:pPr>
      <w:r>
        <w:rPr>
          <w:rFonts w:hint="eastAsia"/>
          <w:kern w:val="0"/>
        </w:rPr>
        <w:t>六、响应供应商资格证明文件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七、其他证明文件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7</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6AD6"/>
    <w:multiLevelType w:val="multilevel"/>
    <w:tmpl w:val="37BF6AD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B0418C"/>
    <w:multiLevelType w:val="multilevel"/>
    <w:tmpl w:val="4CB0418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6343A"/>
    <w:multiLevelType w:val="multilevel"/>
    <w:tmpl w:val="5A7634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WExNDhhZWU5NWVkNmQ4MmYzY2IwOWQyODRlYTc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04"/>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59C"/>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590"/>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04FA"/>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3F60"/>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B6"/>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6AB"/>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346"/>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2F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382D"/>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66F0B"/>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0C9E"/>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40B"/>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F9334A"/>
    <w:rsid w:val="05C068EB"/>
    <w:rsid w:val="079A5E3E"/>
    <w:rsid w:val="0A072DB6"/>
    <w:rsid w:val="0BAE2C4D"/>
    <w:rsid w:val="0D3B4EBB"/>
    <w:rsid w:val="103D6CFD"/>
    <w:rsid w:val="11F31059"/>
    <w:rsid w:val="132B2696"/>
    <w:rsid w:val="16657A77"/>
    <w:rsid w:val="188F4DBC"/>
    <w:rsid w:val="261332F5"/>
    <w:rsid w:val="27454B8F"/>
    <w:rsid w:val="29524E24"/>
    <w:rsid w:val="2B925CFA"/>
    <w:rsid w:val="2CEB0C53"/>
    <w:rsid w:val="2F565CA1"/>
    <w:rsid w:val="30662A94"/>
    <w:rsid w:val="312C634A"/>
    <w:rsid w:val="33F60296"/>
    <w:rsid w:val="35666A5B"/>
    <w:rsid w:val="37072544"/>
    <w:rsid w:val="385F690C"/>
    <w:rsid w:val="3B3C3A5E"/>
    <w:rsid w:val="4311712F"/>
    <w:rsid w:val="453779AD"/>
    <w:rsid w:val="45E8282B"/>
    <w:rsid w:val="46A2470C"/>
    <w:rsid w:val="478E1645"/>
    <w:rsid w:val="501C40BF"/>
    <w:rsid w:val="549C5253"/>
    <w:rsid w:val="5683492E"/>
    <w:rsid w:val="596629A2"/>
    <w:rsid w:val="5DC14E07"/>
    <w:rsid w:val="600B3F55"/>
    <w:rsid w:val="62490B14"/>
    <w:rsid w:val="636721B0"/>
    <w:rsid w:val="63896C89"/>
    <w:rsid w:val="67344343"/>
    <w:rsid w:val="6A640D0F"/>
    <w:rsid w:val="6BB6372C"/>
    <w:rsid w:val="7237488A"/>
    <w:rsid w:val="73824E41"/>
    <w:rsid w:val="75796800"/>
    <w:rsid w:val="75A341D7"/>
    <w:rsid w:val="789559D4"/>
    <w:rsid w:val="7A692C8E"/>
    <w:rsid w:val="7B88662C"/>
    <w:rsid w:val="7BAD1EBA"/>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39"/>
    <w:pPr>
      <w:ind w:left="1260"/>
      <w:jc w:val="left"/>
    </w:pPr>
    <w:rPr>
      <w:sz w:val="20"/>
      <w:szCs w:val="20"/>
    </w:rPr>
  </w:style>
  <w:style w:type="paragraph" w:styleId="6">
    <w:name w:val="Document Map"/>
    <w:basedOn w:val="1"/>
    <w:link w:val="60"/>
    <w:qFormat/>
    <w:uiPriority w:val="0"/>
    <w:rPr>
      <w:rFonts w:ascii="宋体"/>
      <w:sz w:val="18"/>
      <w:szCs w:val="18"/>
    </w:rPr>
  </w:style>
  <w:style w:type="paragraph" w:styleId="7">
    <w:name w:val="annotation text"/>
    <w:basedOn w:val="1"/>
    <w:link w:val="44"/>
    <w:semiHidden/>
    <w:qFormat/>
    <w:uiPriority w:val="99"/>
    <w:pPr>
      <w:jc w:val="left"/>
    </w:pPr>
    <w:rPr>
      <w:szCs w:val="20"/>
    </w:rPr>
  </w:style>
  <w:style w:type="paragraph" w:styleId="8">
    <w:name w:val="Body Text"/>
    <w:basedOn w:val="1"/>
    <w:link w:val="42"/>
    <w:qFormat/>
    <w:uiPriority w:val="0"/>
    <w:pPr>
      <w:spacing w:after="120"/>
    </w:pPr>
    <w:rPr>
      <w:sz w:val="24"/>
      <w:szCs w:val="20"/>
    </w:rPr>
  </w:style>
  <w:style w:type="paragraph" w:styleId="9">
    <w:name w:val="toc 5"/>
    <w:basedOn w:val="1"/>
    <w:next w:val="1"/>
    <w:semiHidden/>
    <w:qFormat/>
    <w:uiPriority w:val="39"/>
    <w:pPr>
      <w:ind w:left="840"/>
      <w:jc w:val="left"/>
    </w:pPr>
    <w:rPr>
      <w:sz w:val="20"/>
      <w:szCs w:val="20"/>
    </w:rPr>
  </w:style>
  <w:style w:type="paragraph" w:styleId="10">
    <w:name w:val="toc 3"/>
    <w:basedOn w:val="1"/>
    <w:next w:val="1"/>
    <w:semiHidden/>
    <w:qFormat/>
    <w:uiPriority w:val="39"/>
    <w:pPr>
      <w:ind w:left="420"/>
      <w:jc w:val="left"/>
    </w:pPr>
    <w:rPr>
      <w:sz w:val="20"/>
      <w:szCs w:val="20"/>
    </w:rPr>
  </w:style>
  <w:style w:type="paragraph" w:styleId="11">
    <w:name w:val="Plain Text"/>
    <w:basedOn w:val="1"/>
    <w:link w:val="37"/>
    <w:qFormat/>
    <w:uiPriority w:val="0"/>
    <w:rPr>
      <w:rFonts w:ascii="宋体" w:hAnsi="Courier New"/>
      <w:szCs w:val="20"/>
    </w:rPr>
  </w:style>
  <w:style w:type="paragraph" w:styleId="12">
    <w:name w:val="toc 8"/>
    <w:basedOn w:val="1"/>
    <w:next w:val="1"/>
    <w:semiHidden/>
    <w:qFormat/>
    <w:uiPriority w:val="39"/>
    <w:pPr>
      <w:ind w:left="1470"/>
      <w:jc w:val="left"/>
    </w:pPr>
    <w:rPr>
      <w:sz w:val="20"/>
      <w:szCs w:val="20"/>
    </w:rPr>
  </w:style>
  <w:style w:type="paragraph" w:styleId="13">
    <w:name w:val="Date"/>
    <w:basedOn w:val="1"/>
    <w:next w:val="1"/>
    <w:link w:val="49"/>
    <w:qFormat/>
    <w:uiPriority w:val="99"/>
    <w:pPr>
      <w:ind w:left="100" w:leftChars="2500"/>
    </w:pPr>
  </w:style>
  <w:style w:type="paragraph" w:styleId="14">
    <w:name w:val="Balloon Text"/>
    <w:basedOn w:val="1"/>
    <w:link w:val="41"/>
    <w:semiHidden/>
    <w:qFormat/>
    <w:uiPriority w:val="99"/>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240" w:after="120"/>
      <w:jc w:val="left"/>
    </w:pPr>
    <w:rPr>
      <w:b/>
      <w:bCs/>
      <w:sz w:val="20"/>
      <w:szCs w:val="20"/>
    </w:rPr>
  </w:style>
  <w:style w:type="paragraph" w:styleId="18">
    <w:name w:val="toc 4"/>
    <w:basedOn w:val="1"/>
    <w:next w:val="1"/>
    <w:semiHidden/>
    <w:qFormat/>
    <w:uiPriority w:val="39"/>
    <w:pPr>
      <w:ind w:left="630"/>
      <w:jc w:val="left"/>
    </w:pPr>
    <w:rPr>
      <w:sz w:val="20"/>
      <w:szCs w:val="20"/>
    </w:rPr>
  </w:style>
  <w:style w:type="paragraph" w:styleId="19">
    <w:name w:val="toc 6"/>
    <w:basedOn w:val="1"/>
    <w:next w:val="1"/>
    <w:semiHidden/>
    <w:qFormat/>
    <w:uiPriority w:val="39"/>
    <w:pPr>
      <w:ind w:left="1050"/>
      <w:jc w:val="left"/>
    </w:pPr>
    <w:rPr>
      <w:sz w:val="20"/>
      <w:szCs w:val="20"/>
    </w:rPr>
  </w:style>
  <w:style w:type="paragraph" w:styleId="20">
    <w:name w:val="toc 2"/>
    <w:basedOn w:val="1"/>
    <w:next w:val="1"/>
    <w:qFormat/>
    <w:uiPriority w:val="39"/>
    <w:pPr>
      <w:spacing w:before="120"/>
      <w:ind w:left="210"/>
      <w:jc w:val="left"/>
    </w:pPr>
    <w:rPr>
      <w:i/>
      <w:iCs/>
      <w:sz w:val="20"/>
      <w:szCs w:val="20"/>
    </w:rPr>
  </w:style>
  <w:style w:type="paragraph" w:styleId="21">
    <w:name w:val="toc 9"/>
    <w:basedOn w:val="1"/>
    <w:next w:val="1"/>
    <w:semiHidden/>
    <w:qFormat/>
    <w:uiPriority w:val="39"/>
    <w:pPr>
      <w:ind w:left="1680"/>
      <w:jc w:val="left"/>
    </w:pPr>
    <w:rPr>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rPr>
  </w:style>
  <w:style w:type="character" w:styleId="27">
    <w:name w:val="page number"/>
    <w:qFormat/>
    <w:uiPriority w:val="99"/>
    <w:rPr>
      <w:rFonts w:cs="Times New Roman"/>
    </w:rPr>
  </w:style>
  <w:style w:type="character" w:styleId="28">
    <w:name w:val="FollowedHyperlink"/>
    <w:qFormat/>
    <w:uiPriority w:val="0"/>
    <w:rPr>
      <w:color w:val="800080"/>
      <w:u w:val="none"/>
    </w:rPr>
  </w:style>
  <w:style w:type="character" w:styleId="29">
    <w:name w:val="Hyperlink"/>
    <w:basedOn w:val="25"/>
    <w:qFormat/>
    <w:uiPriority w:val="99"/>
    <w:rPr>
      <w:color w:val="0000FF"/>
      <w:u w:val="none"/>
    </w:rPr>
  </w:style>
  <w:style w:type="character" w:customStyle="1" w:styleId="30">
    <w:name w:val="Plain Text Char1"/>
    <w:semiHidden/>
    <w:qFormat/>
    <w:uiPriority w:val="99"/>
    <w:rPr>
      <w:rFonts w:ascii="宋体" w:hAnsi="Courier New" w:cs="Courier New"/>
      <w:kern w:val="2"/>
      <w:sz w:val="21"/>
      <w:szCs w:val="21"/>
    </w:rPr>
  </w:style>
  <w:style w:type="character" w:customStyle="1" w:styleId="31">
    <w:name w:val="hang1"/>
    <w:qFormat/>
    <w:uiPriority w:val="0"/>
    <w:rPr>
      <w:rFonts w:cs="Times New Roman"/>
    </w:rPr>
  </w:style>
  <w:style w:type="character" w:customStyle="1" w:styleId="32">
    <w:name w:val="纯文本 Char1"/>
    <w:qFormat/>
    <w:locked/>
    <w:uiPriority w:val="0"/>
    <w:rPr>
      <w:rFonts w:ascii="宋体" w:hAnsi="Courier New" w:eastAsia="宋体"/>
      <w:kern w:val="2"/>
      <w:sz w:val="21"/>
      <w:lang w:val="en-US" w:eastAsia="zh-CN"/>
    </w:rPr>
  </w:style>
  <w:style w:type="character" w:customStyle="1" w:styleId="33">
    <w:name w:val="Body Text Char1"/>
    <w:semiHidden/>
    <w:qFormat/>
    <w:uiPriority w:val="99"/>
    <w:rPr>
      <w:kern w:val="2"/>
      <w:sz w:val="21"/>
      <w:szCs w:val="24"/>
    </w:rPr>
  </w:style>
  <w:style w:type="character" w:customStyle="1" w:styleId="34">
    <w:name w:val="页眉 Char"/>
    <w:link w:val="16"/>
    <w:semiHidden/>
    <w:qFormat/>
    <w:uiPriority w:val="99"/>
    <w:rPr>
      <w:kern w:val="2"/>
      <w:sz w:val="18"/>
      <w:szCs w:val="18"/>
    </w:rPr>
  </w:style>
  <w:style w:type="character" w:customStyle="1" w:styleId="35">
    <w:name w:val="正文文本 Char1"/>
    <w:qFormat/>
    <w:uiPriority w:val="0"/>
    <w:rPr>
      <w:kern w:val="2"/>
      <w:sz w:val="24"/>
    </w:rPr>
  </w:style>
  <w:style w:type="character" w:customStyle="1" w:styleId="36">
    <w:name w:val="普通文字 Char2"/>
    <w:qFormat/>
    <w:locked/>
    <w:uiPriority w:val="0"/>
    <w:rPr>
      <w:rFonts w:ascii="宋体" w:hAnsi="Courier New" w:eastAsia="宋体"/>
    </w:rPr>
  </w:style>
  <w:style w:type="character" w:customStyle="1" w:styleId="37">
    <w:name w:val="纯文本 Char"/>
    <w:link w:val="11"/>
    <w:qFormat/>
    <w:locked/>
    <w:uiPriority w:val="0"/>
    <w:rPr>
      <w:rFonts w:ascii="宋体" w:hAnsi="Courier New" w:eastAsia="宋体"/>
      <w:kern w:val="2"/>
      <w:sz w:val="21"/>
      <w:lang w:val="en-US" w:eastAsia="zh-CN"/>
    </w:rPr>
  </w:style>
  <w:style w:type="character" w:customStyle="1" w:styleId="38">
    <w:name w:val="标题 2 Char"/>
    <w:link w:val="3"/>
    <w:qFormat/>
    <w:locked/>
    <w:uiPriority w:val="0"/>
    <w:rPr>
      <w:rFonts w:ascii="Arial" w:hAnsi="Arial" w:eastAsia="黑体"/>
      <w:b/>
      <w:kern w:val="2"/>
      <w:sz w:val="32"/>
      <w:lang w:val="en-US" w:eastAsia="zh-CN"/>
    </w:rPr>
  </w:style>
  <w:style w:type="character" w:customStyle="1" w:styleId="39">
    <w:name w:val="Char Char2"/>
    <w:qFormat/>
    <w:uiPriority w:val="0"/>
    <w:rPr>
      <w:rFonts w:ascii="Arial" w:hAnsi="Arial" w:eastAsia="黑体"/>
      <w:b/>
      <w:kern w:val="2"/>
      <w:sz w:val="32"/>
      <w:lang w:val="en-US" w:eastAsia="zh-CN"/>
    </w:rPr>
  </w:style>
  <w:style w:type="character" w:customStyle="1" w:styleId="40">
    <w:name w:val="页脚 Char"/>
    <w:link w:val="15"/>
    <w:qFormat/>
    <w:locked/>
    <w:uiPriority w:val="99"/>
    <w:rPr>
      <w:kern w:val="2"/>
      <w:sz w:val="18"/>
    </w:rPr>
  </w:style>
  <w:style w:type="character" w:customStyle="1" w:styleId="41">
    <w:name w:val="批注框文本 Char"/>
    <w:link w:val="14"/>
    <w:semiHidden/>
    <w:qFormat/>
    <w:uiPriority w:val="99"/>
    <w:rPr>
      <w:kern w:val="2"/>
      <w:sz w:val="16"/>
      <w:szCs w:val="0"/>
    </w:rPr>
  </w:style>
  <w:style w:type="character" w:customStyle="1" w:styleId="42">
    <w:name w:val="正文文本 Char"/>
    <w:link w:val="8"/>
    <w:qFormat/>
    <w:locked/>
    <w:uiPriority w:val="0"/>
    <w:rPr>
      <w:kern w:val="2"/>
      <w:sz w:val="24"/>
    </w:rPr>
  </w:style>
  <w:style w:type="character" w:customStyle="1" w:styleId="43">
    <w:name w:val="标题 2 Char1"/>
    <w:qFormat/>
    <w:uiPriority w:val="0"/>
    <w:rPr>
      <w:rFonts w:ascii="Arial" w:hAnsi="Arial" w:eastAsia="黑体"/>
      <w:b/>
      <w:kern w:val="2"/>
      <w:sz w:val="32"/>
      <w:lang w:val="en-US" w:eastAsia="zh-CN"/>
    </w:rPr>
  </w:style>
  <w:style w:type="character" w:customStyle="1" w:styleId="44">
    <w:name w:val="批注文字 Char"/>
    <w:link w:val="7"/>
    <w:semiHidden/>
    <w:qFormat/>
    <w:uiPriority w:val="99"/>
    <w:rPr>
      <w:kern w:val="2"/>
      <w:sz w:val="21"/>
      <w:szCs w:val="24"/>
    </w:rPr>
  </w:style>
  <w:style w:type="character" w:customStyle="1" w:styleId="45">
    <w:name w:val="标题 1 Char"/>
    <w:link w:val="2"/>
    <w:qFormat/>
    <w:locked/>
    <w:uiPriority w:val="9"/>
    <w:rPr>
      <w:rFonts w:eastAsia="宋体"/>
      <w:b/>
      <w:kern w:val="44"/>
      <w:sz w:val="44"/>
      <w:lang w:val="en-US" w:eastAsia="zh-CN"/>
    </w:rPr>
  </w:style>
  <w:style w:type="character" w:customStyle="1" w:styleId="46">
    <w:name w:val="bold1"/>
    <w:qFormat/>
    <w:uiPriority w:val="0"/>
    <w:rPr>
      <w:b/>
    </w:rPr>
  </w:style>
  <w:style w:type="character" w:customStyle="1" w:styleId="47">
    <w:name w:val="标题 3 Char"/>
    <w:link w:val="4"/>
    <w:qFormat/>
    <w:uiPriority w:val="0"/>
    <w:rPr>
      <w:b/>
      <w:bCs/>
      <w:kern w:val="2"/>
      <w:sz w:val="32"/>
      <w:szCs w:val="32"/>
    </w:rPr>
  </w:style>
  <w:style w:type="character" w:customStyle="1" w:styleId="48">
    <w:name w:val="apple-converted-space"/>
    <w:qFormat/>
    <w:uiPriority w:val="0"/>
    <w:rPr>
      <w:rFonts w:cs="Times New Roman"/>
    </w:rPr>
  </w:style>
  <w:style w:type="character" w:customStyle="1" w:styleId="49">
    <w:name w:val="日期 Char"/>
    <w:link w:val="13"/>
    <w:qFormat/>
    <w:locked/>
    <w:uiPriority w:val="99"/>
    <w:rPr>
      <w:kern w:val="2"/>
      <w:sz w:val="24"/>
    </w:rPr>
  </w:style>
  <w:style w:type="paragraph" w:customStyle="1" w:styleId="50">
    <w:name w:val="Char Char"/>
    <w:basedOn w:val="1"/>
    <w:qFormat/>
    <w:uiPriority w:val="0"/>
    <w:pPr>
      <w:widowControl/>
      <w:spacing w:after="160" w:line="240" w:lineRule="exact"/>
      <w:jc w:val="left"/>
    </w:pPr>
  </w:style>
  <w:style w:type="paragraph" w:customStyle="1" w:styleId="51">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样式 样式 标题 3 + 加粗 + 加粗"/>
    <w:basedOn w:val="1"/>
    <w:qFormat/>
    <w:uiPriority w:val="0"/>
    <w:pPr>
      <w:tabs>
        <w:tab w:val="left" w:pos="420"/>
      </w:tabs>
      <w:ind w:left="420" w:hanging="420"/>
    </w:pPr>
  </w:style>
  <w:style w:type="paragraph" w:customStyle="1" w:styleId="5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列出段落2"/>
    <w:basedOn w:val="1"/>
    <w:qFormat/>
    <w:uiPriority w:val="0"/>
    <w:pPr>
      <w:ind w:firstLine="420" w:firstLineChars="200"/>
    </w:pPr>
  </w:style>
  <w:style w:type="paragraph" w:customStyle="1" w:styleId="56">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8">
    <w:name w:val="列出段落11"/>
    <w:basedOn w:val="1"/>
    <w:qFormat/>
    <w:uiPriority w:val="34"/>
    <w:pPr>
      <w:ind w:firstLine="420" w:firstLineChars="200"/>
    </w:pPr>
  </w:style>
  <w:style w:type="paragraph" w:customStyle="1" w:styleId="59">
    <w:name w:val="默认段落字体 Para Char Char Char Char Char Char Char Char Char1 Char"/>
    <w:basedOn w:val="1"/>
    <w:qFormat/>
    <w:uiPriority w:val="0"/>
    <w:rPr>
      <w:rFonts w:ascii="Tahoma" w:hAnsi="Tahoma"/>
      <w:sz w:val="24"/>
      <w:szCs w:val="20"/>
    </w:rPr>
  </w:style>
  <w:style w:type="character" w:customStyle="1" w:styleId="60">
    <w:name w:val="文档结构图 Char"/>
    <w:basedOn w:val="25"/>
    <w:link w:val="6"/>
    <w:qFormat/>
    <w:uiPriority w:val="0"/>
    <w:rPr>
      <w:rFonts w:ascii="宋体"/>
      <w:kern w:val="2"/>
      <w:sz w:val="18"/>
      <w:szCs w:val="18"/>
    </w:rPr>
  </w:style>
  <w:style w:type="paragraph" w:styleId="6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2569</Words>
  <Characters>2714</Characters>
  <Lines>57</Lines>
  <Paragraphs>16</Paragraphs>
  <TotalTime>0</TotalTime>
  <ScaleCrop>false</ScaleCrop>
  <LinksUpToDate>false</LinksUpToDate>
  <CharactersWithSpaces>2884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蜗牛</cp:lastModifiedBy>
  <cp:lastPrinted>2017-07-17T00:55:00Z</cp:lastPrinted>
  <dcterms:modified xsi:type="dcterms:W3CDTF">2023-05-25T07:36:42Z</dcterms:modified>
  <dc:title>南康市环宇招标代理有限公司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6F8884EC7F2C4A03BF59A995EF7A612E</vt:lpwstr>
  </property>
</Properties>
</file>