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r>
        <w:rPr>
          <w:rFonts w:hint="eastAsia"/>
          <w:sz w:val="28"/>
          <w:szCs w:val="36"/>
          <w:lang w:val="en-US" w:eastAsia="zh-CN"/>
        </w:rPr>
        <w:t>附件1：</w:t>
      </w:r>
      <w:bookmarkStart w:id="2" w:name="_GoBack"/>
      <w:bookmarkEnd w:id="2"/>
    </w:p>
    <w:p>
      <w:pPr>
        <w:pStyle w:val="2"/>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sz w:val="28"/>
          <w:szCs w:val="28"/>
        </w:rPr>
        <w:t>遗传病基因检测诊断服务外送项目一览表</w:t>
      </w:r>
      <w:r>
        <w:rPr>
          <w:rFonts w:hint="eastAsia" w:ascii="方正小标宋简体" w:hAnsi="方正小标宋简体" w:eastAsia="方正小标宋简体" w:cs="方正小标宋简体"/>
          <w:sz w:val="28"/>
          <w:szCs w:val="28"/>
          <w:lang w:val="en-US" w:eastAsia="zh-CN"/>
        </w:rPr>
        <w:t>及检测项目技术参数</w:t>
      </w:r>
    </w:p>
    <w:p>
      <w:pPr>
        <w:pStyle w:val="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一、遗传病基因检测诊断服务外送项目一览表</w:t>
      </w:r>
    </w:p>
    <w:tbl>
      <w:tblPr>
        <w:tblStyle w:val="7"/>
        <w:tblW w:w="9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348"/>
        <w:gridCol w:w="1486"/>
        <w:gridCol w:w="4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方法学</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无创产前基因检测升级版（无创PLUS）</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需出具产前诊断机构的报告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单基因遗传病携带者筛查（155种）</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单基因遗传病携带者筛查（41种）</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基因拷贝数变异测序(CNV-seq)</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动态突变检测（脊髓小脑共济失调、智力障碍等）</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PCR+毛细管电泳</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母源污染STR检测</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DNA测序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脆性X染色体综合征检测</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特殊PCR+毛细管电泳</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先天性软骨发育不全基因检测（FGFR3）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Sanger测序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苯丙酮尿症PAH基因</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DNA测序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成骨不全COL1A1基因</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DNA测序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丙种球蛋白缺乏症BTK基因分析</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DNA测序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X连锁联合免疫缺陷病IL2RG基因分析</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DNA测序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BH4缺乏型PTS基因分析</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DNA测序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单基因遗传病产前基因检测（特定位点基因测序检测）</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DNA测序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新生儿遗传病基因筛查</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NGS</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先天性中重度耳聋基因检测（GJB2）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NGS/Sanger</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大前庭水管综合征型耳聋基因检测（SLC26A4）</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NGS/Sanger</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外显子缺失重复检测（DMD、SMA等）</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MLPA/QPCR</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血友病 A 型 F8 基因内含子1倒位突变检测</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序列特异性PCR</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血友病A型F8基因内含子22倒位突变检测</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LD-PCR</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假性肥大性肌营养不良基因检测（DMD）</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MLPA</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Beckwith-Wiedemann/Russell-Silver综合征基因检测</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MS-MLPA</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Prader-Willi/Angelman综合征基因检测</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MS-MLPA</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染色体微阵列分析</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微阵列技术</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全外显子测序检测（单样本）-产前诊断</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全外显子测序检测（家系）-产前诊断</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产前诊断标本需出具省级以上产前诊断机构的产前诊断报告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全外显子测序检测（单样本）-非产前诊断</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此项目2024年11月25日起开始外送检测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全外显子测序检测（家系）-非产前诊断</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遗传病相关基因测序（panel）</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遗传代谢病基因测序（panel）</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常见黄疸基因检测疾病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高通量测序</w:t>
            </w:r>
          </w:p>
        </w:tc>
        <w:tc>
          <w:tcPr>
            <w:tcW w:w="4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72"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备注：项目包含但不限于以上项目，如价格有调整，按物价最新标准进行计算。</w:t>
            </w:r>
          </w:p>
        </w:tc>
      </w:tr>
    </w:tbl>
    <w:p>
      <w:pPr>
        <w:rPr>
          <w:rFonts w:hint="eastAsia"/>
        </w:rPr>
      </w:pPr>
    </w:p>
    <w:p>
      <w:pPr>
        <w:pStyle w:val="3"/>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黑体" w:hAnsi="黑体" w:eastAsia="黑体" w:cs="黑体"/>
          <w:b w:val="0"/>
          <w:bCs w:val="0"/>
          <w:color w:val="auto"/>
          <w:kern w:val="2"/>
          <w:sz w:val="32"/>
          <w:szCs w:val="32"/>
          <w:highlight w:val="none"/>
          <w:lang w:val="en-US" w:eastAsia="zh-CN" w:bidi="ar-SA"/>
        </w:rPr>
      </w:pPr>
      <w:bookmarkStart w:id="0" w:name="_Toc69208979"/>
      <w:r>
        <w:rPr>
          <w:rFonts w:hint="eastAsia" w:ascii="黑体" w:hAnsi="黑体" w:eastAsia="黑体" w:cs="黑体"/>
          <w:b w:val="0"/>
          <w:bCs w:val="0"/>
          <w:color w:val="auto"/>
          <w:kern w:val="2"/>
          <w:sz w:val="32"/>
          <w:szCs w:val="32"/>
          <w:highlight w:val="none"/>
          <w:lang w:val="en-US" w:eastAsia="zh-CN" w:bidi="ar-SA"/>
        </w:rPr>
        <w:t>二、检测项目技术参数要求</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（一）</w:t>
      </w:r>
      <w:bookmarkEnd w:id="0"/>
      <w:r>
        <w:rPr>
          <w:rFonts w:hint="eastAsia" w:ascii="仿宋" w:hAnsi="仿宋" w:eastAsia="仿宋" w:cs="仿宋"/>
          <w:b w:val="0"/>
          <w:bCs w:val="0"/>
          <w:color w:val="auto"/>
          <w:kern w:val="2"/>
          <w:sz w:val="24"/>
          <w:szCs w:val="24"/>
          <w:highlight w:val="none"/>
          <w:lang w:val="en-US" w:eastAsia="zh-CN" w:bidi="ar-SA"/>
        </w:rPr>
        <w:t>无创产前基因检测升级版（无创PLUS）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检测内容包括21-三体综合征、18-三体综合征和13-三体综合征、性染色体异常在内的所有染色体非整倍体异常，不少于90种临床明确的染色体微缺失微重复综合征。</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bookmarkStart w:id="1" w:name="_Toc69208980"/>
      <w:r>
        <w:rPr>
          <w:rFonts w:hint="eastAsia" w:ascii="仿宋" w:hAnsi="仿宋" w:eastAsia="仿宋" w:cs="仿宋"/>
          <w:b w:val="0"/>
          <w:bCs w:val="0"/>
          <w:color w:val="auto"/>
          <w:kern w:val="2"/>
          <w:sz w:val="24"/>
          <w:szCs w:val="24"/>
          <w:highlight w:val="none"/>
          <w:lang w:val="en-US" w:eastAsia="zh-CN" w:bidi="ar-SA"/>
        </w:rPr>
        <w:t>2.1 检测方法学：高通量测序技术（NGS）。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样本类型：孕妇外周血。</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检测准确性：按卫健委要求，胎儿染色体非整倍体基因检测，21 三体综合征检出率应不低于95%，18三体综合征检出率应不低于85%，13 三体综合征检出率应不低于70%；复合假阳性率应不高于0.5%。</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投标人需为受检人群购买保险，阳性报销：21三体综合征、18三体综合征、13 三体综合征、其他染色体异常不少于5000元；假阴性报销：包含除21三体综合征、18三体综合征、13三体综合征之外的其他染色体数目异常和缺失重复综合征；出生后检测结果假阴性赔付不低于40万、出生前检测结果假阴性不低于2万。</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2.5样本数据量：每个样品原始数据量不少于20M reads，有效数据量不少于10M reads。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2.6为提高检测成功率，使用胎儿浓度富集技术以提高胎儿浓度。</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2.7自采血至发放检测报告时间不大于10个工作日。免费提供检测项目的假阴性、假阳性排查验证流程。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（二）单基因遗传病携带者筛查</w:t>
      </w:r>
      <w:bookmarkEnd w:id="1"/>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1．检测项目和检测内容</w:t>
      </w:r>
    </w:p>
    <w:tbl>
      <w:tblPr>
        <w:tblStyle w:val="7"/>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77"/>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序号</w:t>
            </w:r>
          </w:p>
        </w:tc>
        <w:tc>
          <w:tcPr>
            <w:tcW w:w="2277"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检测项目</w:t>
            </w:r>
          </w:p>
        </w:tc>
        <w:tc>
          <w:tcPr>
            <w:tcW w:w="5947"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2277"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单基因遗传病携带者筛查（155种）</w:t>
            </w:r>
          </w:p>
        </w:tc>
        <w:tc>
          <w:tcPr>
            <w:tcW w:w="5947"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采用高通量测序技术，检测不少于150种常见遗传病携带者筛查（包含耳聋、地贫、DMD、SMA、PKU等）。覆盖至少150种疾病的10000多个致病位点。可检测地贫、DMD、SMA的常见CNV变异类型。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2277"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单基因遗传病携带者筛查（41种）</w:t>
            </w:r>
          </w:p>
        </w:tc>
        <w:tc>
          <w:tcPr>
            <w:tcW w:w="5947"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采用高通量测序技术，检测不少于40种常见遗传病携带者筛查（包含耳聋、DMD、SMA、PKU等），可检测DMD、SMA的常见CNV变异类型。</w:t>
            </w:r>
          </w:p>
        </w:tc>
      </w:tr>
    </w:tbl>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检测方法学：目标区域捕获及高通量测序技术。</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样本类型：外周血、DNA、唾液。</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2.3产品性能：最低有效测序深度不低于100X； Q20≥95%，Q30≥85%；10X覆盖度≥99%；</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能检测常见的CNV变异类型，包括进行性假肥大性肌营养不良DMD基因连续2个外显子及以上的缺失/重复、脊髓性肌肉萎缩症SMN1基因7号外显子缺失；并提供证明以上CNV检测的性能报告书，与金标准相比灵敏度特异性数据不低于99%。</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2.5对NGS分析CNV流程中结果为阳性或灰区的样本提供金标准MLPA、Gap-PCR等方法的二次验证。</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报告周期：收到合格样本15个工作日内。</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2.7 检测报告包含所检测疾病的剩余风险相关信息。</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2.8检测报告符合《临床单基因遗传病基因检测报告规范团体标准》规范。</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（三）基因拷贝数变异测序(CNV-seq)</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采用NGS技术对DNA进行低深度全基因组测序，测序结果与人类参考基因组的碱基序列进行对比，通过生物信息分析以发现受检样本存在的CNVs 。检测范围包括23对染色体非整倍体、100Kb以上的缺失重复。</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检测方法学：高通量测序技术（NGS）。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样本类型：流产组织、DNA、外周血等。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2.3检测设备获得药品监督管理局颁发的医疗器械注册证，且可用于对来源于人体样本的脱氧核糖核苷酸（DNA）和核糖核酸（RNA）进行测序，以检测基因变化。</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2.4数据量：平均数据量≥30M reads；单样本检测有效数据量要求≥15M reads；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2.5对于致病、疑似致病、意义未明等各种变异类型均进行解读说明；</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需协助医院进行检测本地化开展；</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2.7 报告周期：收到合格样本15个工作日内。</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（四）动态突变检测（脊髓小脑共济失调、智力障碍等）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采用PCR+毛细管电泳技术，对三核苷酸串联重复导致的动态突变进行检测，明确相关基因的三核苷酸重复数。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检测方法学：PCR+毛细管电泳。</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样本类型：羊水、外周血等。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精确检测三核苷酸重复数，结果明确区分正常、中间型与全突变。</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检测准确度偏差不超过5个重复数。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检测实验有正常对照的结果作为参考。</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产前样本由有资质的产前诊断机构出具产前诊断报告。</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（五）母源污染STR检测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采用荧光PCR毛细管电泳法，定性检测人羊水样本中的基因组21、18、13号染色体上特异性短串联重复序列(short tandem repeats, STR) 遗传位点、性染色体上特异性STR遗传位点和2个基因位点。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检测方法学：PCR+毛细管电泳。</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样本类型：羊水、外周血等。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检测所用试剂盒获得药品监督管理局颁发的医疗器械注册证。</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检测设备：配备一代测序仪。</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母体污染鉴定的敏感性约5%。</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通过检测STR遗传标记进行染色体异常的检测，通过定性分析STR 的多态性，检测出99.2%～100.0%目标染色体（21、18、13、X 和Y 等5 种染色体）的非整倍体异常。</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（六）脆性X染色体综合征检测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采用PCR+毛细管电泳技术，对FMR1基因5’端非翻译区的CGG重复数进行检测。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检测方法学：PCR+毛细管电泳。</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样本类型：羊水、外周血、DNA等。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精确检测CGG重复数，结果明确区分正常、中间型、前突变与全突变。</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检测准确度偏差不超过5个重复数。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检测实验有正常对照的结果作为参考。</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产前样本由有资质的产前诊断机构出具产前诊断报告。</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（七）单基因遗传性疾病基因检测项目</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tbl>
      <w:tblPr>
        <w:tblStyle w:val="7"/>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638"/>
        <w:gridCol w:w="4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序号</w:t>
            </w:r>
          </w:p>
        </w:tc>
        <w:tc>
          <w:tcPr>
            <w:tcW w:w="36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项目名称</w:t>
            </w:r>
          </w:p>
        </w:tc>
        <w:tc>
          <w:tcPr>
            <w:tcW w:w="4886"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36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先天性软骨发育不全基因检测（FGFR3）</w:t>
            </w:r>
          </w:p>
        </w:tc>
        <w:tc>
          <w:tcPr>
            <w:tcW w:w="4886"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采用Sanger测序对人基因组中的FGFR3基因外显子区域进行</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36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苯丙酮尿症PAH基因</w:t>
            </w:r>
          </w:p>
        </w:tc>
        <w:tc>
          <w:tcPr>
            <w:tcW w:w="4886"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检测PAH基因13个外显子以及外显子与内含子交界区的突变。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36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成骨不全COL1A1基因</w:t>
            </w:r>
          </w:p>
        </w:tc>
        <w:tc>
          <w:tcPr>
            <w:tcW w:w="4886"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检测COL1A1基因50个外显子以及外显子和内含子交界区的突变。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p>
        </w:tc>
        <w:tc>
          <w:tcPr>
            <w:tcW w:w="36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丙种球蛋白缺乏症BTK基因分析</w:t>
            </w:r>
          </w:p>
        </w:tc>
        <w:tc>
          <w:tcPr>
            <w:tcW w:w="4886"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检测BTK基因外显子以及外显子和内含子交界区的突变。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36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X连锁联合免疫缺陷病IL2RG基因分析</w:t>
            </w:r>
          </w:p>
        </w:tc>
        <w:tc>
          <w:tcPr>
            <w:tcW w:w="4886"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检测IL2RG基因外显子以及外显子和内含子交界区的突变。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36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BH4缺乏型PTS基因分析</w:t>
            </w:r>
          </w:p>
        </w:tc>
        <w:tc>
          <w:tcPr>
            <w:tcW w:w="4886" w:type="dxa"/>
            <w:noWrap w:val="0"/>
            <w:vAlign w:val="top"/>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检测PTS基因外显子以及外显子和内含子交界区的突变。</w:t>
            </w:r>
          </w:p>
        </w:tc>
      </w:tr>
    </w:tbl>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检测方法学：Sanger测序。</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样本类型：羊水、DNA、外周血等。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检测设备：PCR仪、一代测序仪。</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使用引物设计软件进行单位点验证引物设计和一代测序试验。</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产前样本由有资质的产前诊断机构出具产前诊断报告。</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（八）单基因遗传病产前基因检测（特定位点基因测序检测）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对已经检测出的明确致病性位点，对此位点采用一代测序的方法进行位点突变的真实性验证，或对已明确致病性位点的家族成员位点携带验证。</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检测方法学：Sanger测序。</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样本类型：羊水、DNA、外周血等。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2.3样本要求：羊水≥10mL；DNA样本总量1μg，并进行质量检测，条带清晰，无RNA污染，无蛋白污染；外周血≥2mL。</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2.4使用引物设计软件进行单位点验证引物设计和一代测序试验。</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（九）新生儿遗传病基因筛查</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对不少于200个以上目标基因的编码区进行捕获测序，同时分析点突变、小片段插入缺失 (≤20bp) 以及部分基因外显子水平的缺失/重复。</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检测方法学：目标区域捕获和高通量测序技术。</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样本类型：全血（≥1mL）、干血片（3个8mm血斑）。</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2.3点突变检测的灵敏性、特异性、准确性&gt;99%。</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2.4对于地中海贫血、SMA、DMD等以复杂变异致病为主的疾病，可分析常见拷贝数变异 (CNV)，为临床提供检测服务。</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2.5数据解读规则参考美国医学遗传学和基因组学学院（American College of Medical Genetics and Genomics，ACMG）及ClinGen相关指南。</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新生儿遗传病基因筛查信息分析数据标准：</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（1）目标区域20X覆盖度＞ 95%；</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（2）核基因组有效测序深度≥100X；</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2.7报告周期：样本中心收到合格样本10个工作日。 </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2.8为了避免假阳性的出现，对NGS分析流程中低质量的SNV及CNV结果通过金标准Sanger、qPCR等方法进行二次验证。</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（十）先天性中重度耳聋基因检测（GJB2）</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针对GJB2基因编码区及剪切位点基因检测，针对GJB2基因外显子及其上下游10bp内含子的单碱基突变、小的插入缺失(&lt;20bp)，不包括外显子缺失重复和染色体易位检测等。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检测方法可二选一。</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检测方法学：高通量测序技术（NGS）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2.1.1 样本类型：DNA、外周血、干血斑等。外周血3ml，干血斑≥3个</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2.1.2 使用高通量测序平台进行测序，机器测序运行时间为2.5h/run，单样本数据量＞50Mb，检测目标区域大小约3000bp，测序平均读长达200bp。</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2.1.3 测序质量及要求：Q20＞60%，目标区域覆盖度＞99%，30X覆盖度＞98%，平均深度＞1000X。</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检测方法学：Sanger测序</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2.2.1 样本类型：DNA、外周血、干血斑等。外周血3ml，干血斑≥3个</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2.2.2使用sanger双向测序，检测目标区域大小约3000bp。</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2.2.3软件自动化，可自主识别。</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（十一）大前庭水管综合征型耳聋基因检测（SLC26A4）</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主要针对SLC26A4 基因编码区及剪切位点基因检测，针对SLC26A4基因外显子及其上下游10bp内含子的单碱基突变、小的插入缺失(&lt;20bp)，不包括外显子缺失重复和染色体易位检测等。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检测方法可二选一。</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检测方法学：高通量测序技术（NGS）。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样本类型：DNA、外周血、干血斑等。外周血3ml，干血斑≥3个</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使用高通量测序平台进行测序，机器测序运行时间为2.5h/run，单样本数据量＞50Mb，检测目标区域大小约10000bp，测序平均读长达200bp。</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测序质量及要求：Q20＞60%，目标区域覆盖度＞99%，30X覆盖度＞98%，平均深度＞1000X。</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检测方法学：Sanger测序</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2.2.1 样本类型：DNA、外周血、干血斑等。外周血3ml，干血斑≥3个</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2.2.2使用sanger 双向测序，检测目标区域大小约10000bp。</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2.2.3软件自动化，可自主识别。</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（十二）外显子缺失重复检测（DMD、SMA等）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已明确的重复或缺失型致病性突变，采用MLPA、QPCR、TP-PCR等各种检测方法对重复或缺失型致病性突变的真实性进行验证，或对已明确带有致病性重复或缺失型突变的家族其他成员进行携带情况验证，主要用于对基因exon level缺失重复进行检测。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检测方法学：MLPA、QPCR等。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样本类型：DNA、外周血等。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采用MLPA/QPCR等方法。测定DNA浓度，避免样本污染风险。</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使用引物设计软件进行引物设计，避免非特异性扩增。</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产前样本由有资质的产前诊断机构出具产前诊断报告。</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（十三）血友病 A 型 F8 基因内含子1倒位突变检测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用于体外定性检测人类基因组中的X染色体上FⅧ基因内含子1倒位情况。</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检测方法学：序列特异性PCR。</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样本类型：羊水、DNA、外周血等。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样本要求：羊水≥10mL，外周血≥2mL。</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采用序列特异性PCR方法，专业引物设计软件，引物特异性高。</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产前样本由有资质的产前诊断机构出具产前诊断报告。</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（十四）血友病A型F8基因内含子22倒位突变检测 </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用于体外定性检测人类基因组中的X染色体上F8基因内含子22倒位情况。</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检测方法学：Long-range PCR。</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样本类型：羊水、DNA、外周血等。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样本要求：羊水≥10mL，外周血≥2ML。</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采用Long-range PCR技术，能够有效对F8基因的内含子22区域进行富集，扩增条带清晰、单一。</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使用引物设计软件进行引物设计，避免非特异性扩增。</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产前样本由有资质的产前诊断机构出具产前诊断报告。</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（十五）假性肥大性肌营养不良基因检测（DMD）</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对DMD基因1-79号外显子拷贝数情况进行检测。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检测方法学：多重连接探针扩增技术（MLPA）。</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样本类型：羊水、DNA、外周血等。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实验质控把控严格精确测定DNA浓度，避免样本污染风险。</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使用专业引物设计软件进行引物设计，避免非特异性扩增。</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产前样本由有资质的产前诊断机构出具产前诊断报告。</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（十六）Beckwith-Wiedemann/Russell-Silver综合征基因检测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Beckwith-Wiedemann综合征（BWS）是一种影响身体许多部位的疾病。它被归类为过度生长综合症，意味着患病的婴儿比正常人大得多，并且在童年时期往往比同龄人更高。临床表型可见新生儿低血糖、巨大儿、巨舌症、耳周围皮肤褶皱、偏侧发育过度、脐膨出、内脏肿大、肾上腺皮质细胞肿大、肾脏异常（如髓质发育不良、肾钙质沉着症、髓质海绵肾和肾肿大），且儿童期患上肝、肾癌症或肿瘤的风险增加，发病率约为1/1.4万。</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BWS的致病基因位于第11号的染色体短臂15.5区域(11p15.5)，由11p15.5区域母源或父源性印记基因表达缺陷所致。</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本检测项目主要检测11p15.5区段（包含CDKN1C，KCNQ1，IGF2、H19等基因）拷贝数变异及甲基化情况。</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检测方法学：甲基化-多重连接依赖探针扩增技术（MS-MLPA）</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样本要求：羊水、DNA、外周血等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使用引物设计软件进行引物设计，避免非特异性扩增。</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产前样本由有资质的产前诊断机构出具产前诊断报告。</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（十七）Prader-Willi/Angelman综合征基因检测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Prader-Willi综合征（PWS）是一种累及全身多系统的印迹遗传性疾病。国外不同人群的发病率约为1/10 000～1/30 000，我国缺乏流行病学资料。PWS临床表型因年龄不同而存在差异，新生儿期以重度中枢性肌张力低下和吸吮困难为主要表现，随着年龄增长，可逐渐出现食欲亢进、肥胖、生长迟缓、学习困难、智力低下及行为异常等。PWS的主要遗传类型包括：（1）父源染色体15q11.2-q13片段缺失（西方PWS患者占65%-75%，中国和亚洲人群该型的比例稍高于80%）；（2）母源同源二倍体(maternal uni-parentaldisomy，UPD)导致15q11.2-q13区域的父源等位基因缺失(占20%-30%)；（3）印记中心微缺失及突变(占1%-3%)。</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本检测项目主要检测染色体15q11.2-q13区段（包含MKRN3、MAGEL2、NDN、SNRPN、UBE3A等基因）拷贝数变异及甲基化情况。</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检测方法学：甲基化-多重连接依赖探针扩增技术（MS-MLPA）</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样本要求：羊水、DNA、外周血等</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使用引物设计软件进行引物设计，避免非特异性扩增。</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产前样本由有资质的产前诊断机构出具产前诊断报告。</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（十八）染色体微阵列分析</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染色体非整倍体、大片段的缺失和重复、微缺失和微重复、可检测低至50Kbp的染色体变异，明确染色体异常区域的具体基因。可检出多倍体。精确检测杂合性缺失（LOH）和单亲二倍体（UPD）。检测不平衡性易位和低比例的嵌合体。</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检测方法学：微阵列技术。</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样本类型：外周血、羊水。</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检测准确性：分辨率达到1um，检测灵敏度低于0.5个藻红蛋白/μm2。</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全自动控制芯片的杂交过程，保证成功的杂交提供精确的温度和速度控制。</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2.5仪器平台拥有药品监督管理局颁发的医疗器械注册证。</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2.6针对每个检测目标采用多段探针设计，使得实验结果获得多重数据的坚强支撑，提高检测结果的特异性、重复性。</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2.7具有多个层次的遗传研究产品，包括单基因疾病的连锁分析、多基因疾病关联分析、染色体异常的拷贝数分析、已知遗传疾病的分析、个性化用药的遗传易感性分析。</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2.8关联分析产品可达到九十万个SNP位点。能提供外显子SNP芯片，检测不少于20万个外显子的SNP。</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2.9细胞遗传学产品要设计有≥70万个拷贝数分析标志物，其中包含SNP标志物，以便用于检测特殊的杂合性缺失，如单亲二体型；非多态性标志物探针要经过剂量效应验证确保检测出的荧光信号符合个体体内情况。</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2.10提供拷贝数分析与分子细胞遗传学筛查的芯片，支持微缺失，微扩增，LOH，UPD，IBD分析，并精确估计断裂点、低水平样品的嵌合性和DNA样品的异质性。</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（十九）全外显子测序检测</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1．检测项目和检测内容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用目标序列捕获+高通量测序技术，检测人基因组中20000多基因全外显子区域的基因序列，测序结果通过专业软件进行数据分析，获得全外显子范围内的突变位点信息，结合临床表型、频率数据库、疾病数据库、文献数据库等多种数据库信息对突变位点进行临床致病性分析。</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1"/>
        <w:gridCol w:w="4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检测项目</w:t>
            </w:r>
          </w:p>
        </w:tc>
        <w:tc>
          <w:tcPr>
            <w:tcW w:w="49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全外显子测序检测（单样本）—产前诊断</w:t>
            </w:r>
          </w:p>
        </w:tc>
        <w:tc>
          <w:tcPr>
            <w:tcW w:w="49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对产前单个样本进行全外显子区域的高通量测序检测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全外显子测序检测(家系) —产前诊断</w:t>
            </w:r>
          </w:p>
        </w:tc>
        <w:tc>
          <w:tcPr>
            <w:tcW w:w="49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对产前标准家系三人进行全外显子区域的高通量测序检测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全外显子测序检测（单样本）—非产前诊断</w:t>
            </w:r>
          </w:p>
        </w:tc>
        <w:tc>
          <w:tcPr>
            <w:tcW w:w="49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对非产前单个样本进行全外显子区域的高通量测序检测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1"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全外显子测序检测(家系) —非产前诊断</w:t>
            </w:r>
          </w:p>
        </w:tc>
        <w:tc>
          <w:tcPr>
            <w:tcW w:w="4938" w:type="dxa"/>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对非产前标准家系三人进行全外显子区域的高通量测序检测</w:t>
            </w:r>
          </w:p>
        </w:tc>
      </w:tr>
    </w:tbl>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检测方法学：捕获芯片+高通量测序技术（NGS）。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样本类型：羊水≥10mL；外周血要求总量≥1mL；DNA要求总量1μg，并进行质量检测，条带清晰，无RNA污染，无蛋白污染。</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检测范围包括20000多个基因外显子区域及临近±20bp内含子区域；能检测的变异类型包括点变异，indel及CNV等突变（外显子水平及100kb 以上的大片段CNV），包含致病明确的内含子区域探针。</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使用高通量测序平台进行测序，机器测序运行时间为40-48h/run，单次测序产出数据量为2TB-6TB/run，测序策略为PE150，每个样本测序数据量（Raw Data）不少于10G。</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测序质量及要求：Q20&gt;90%，Q30&gt;85%；碱基类型分布均匀，无GC分离；平均覆盖度99.5%以上；平均测序深度不低于100×；目标区域20×以上覆盖度&gt;98%，线粒体基因组的平均测序深度不低于5000X。</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产前样本由有资质的产前诊断机构出具产前诊断报告，发报告时间均为收到合格样本后30个工作日内。</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2.7 WES检测阳性位点均免费提供一代验证服务，单样本WES检测阳性位点可免费提供父母突变位点一代验证服务。</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2.8数据分析：具有软件进行测序数据的质控、生物信息分析和遗传分析。软件具有SNP／Indel／CNV检测、注释及统计等功能。依照美国医学遗传学和基因组学学会（American College of Medical Genetics and Genomics，ACMG）标准对变异基因进行致病性评估，具有临床表型评级分析功能。</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（二十）遗传病相关基因测序（panel）</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用目标序列捕获+高通量测序技术，检测遗传病相关基因的外显子区域，测序结果通过专业软件进行数据分析，获得外显子范围内的突变位点信息，结合临床表型、频率数据库、疾病数据库、文献数据库等多种数据库信息对突变位点进行临床致病性分析。</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检测方法学：高通量测序技术（NGS）。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样本类型：羊水≥10mL；外周血要求总量≥1mL；DNA要求总量1μg，并进行质量检测，条带清晰，无RNA污染，无蛋白污染。</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检测范围包括遗传病相关基因外显子区域及临近±20bp内含子区域；能检测的变异类型包括点变异和indel。</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使用高通量测序平台进行测序，机器测序运行时间为40-48h/run，单次测序产出数据量为2TB-6TB/run，测序策略为PE150。</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测序质量及要求：Q20&gt;90%，Q30&gt;85%；碱基类型分布均匀，无GC分离；平均覆盖度99.5%以上；平均测序深度不低于100× ；目标区域20×以上覆盖度&gt;98%。</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产前样本由有资质的产前诊断机构出具产前诊断报告。</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2.7 检测结果能够提供一代测序、QPCR以及MLPA等方法验证阳性位点。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2.8报告周期：发报告时间均为收到合格样本后30个工作日。</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（二十一）遗传代谢病基因测序（panel）</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遗传代谢病相关基因检测包含不少于80个串联质谱检测疾病相关的基因。</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检测方法学：高通量测序技术（NGS）。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样本类型：外周血≥2mL。</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保证数据结果准确性，平均覆盖度≥200X，20X以上覆盖区域≥99.5%。</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检测报告内容，包含SNV、CNV检出内容提示。</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针对检出提示异常，提供相应验证手段提供后续验证服务，包括但不限于SNV位点验证、MLPA验证、qPCR验证、ddPCR验证。</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报告周期：发报告时间均为收到合格样本后30个工作日。</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（二十二）常见黄疸基因检测疾病</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1．检测内容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检测不少于600个基因外显子区域内的SNV、InDel、小CNV以及部分ClinVar、HGMD数据库中判断为致病性的内含子变异情况。</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2．检测实验技术参数</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 检测方法学：高通量测序技术（NGS）。</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 样本类型：新生儿≥3个8mm干血斑；父母外周血≥2ml。</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 测序质量及要求：Q20&gt;90%，Q30&gt;85%；碱基类型分布均匀，无GC分离；平均覆盖度 99.5%以上；平均测序深度不低于100X ；目标区域20X以上覆盖度&gt;98%。</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 使用高通量测序平台进行测序，机器测序运行时间为40-48h/run，单次测序产出数据量为2TB-6TB/run，测序策略为PE150。</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 检测结果能够提供一代测序、QPCR以及MLPA等方法验证阳性位点。</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 报告周期：发报告时间均为收到合格样本后30个工作日。</w:t>
      </w:r>
    </w:p>
    <w:p>
      <w:pPr>
        <w:rPr>
          <w:rFonts w:hint="eastAsia" w:ascii="仿宋_GB2312" w:hAnsi="仿宋_GB2312" w:eastAsia="仿宋_GB2312" w:cs="仿宋_GB2312"/>
          <w:sz w:val="32"/>
          <w:szCs w:val="40"/>
          <w:lang w:val="en-US" w:eastAsia="zh-CN"/>
        </w:rPr>
      </w:pP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DEyZDY5MTdhMjkyMTBkM2I0ZDVhM2QxY2FjZDIifQ=="/>
  </w:docVars>
  <w:rsids>
    <w:rsidRoot w:val="00000000"/>
    <w:rsid w:val="0DCC5807"/>
    <w:rsid w:val="0F7E1A19"/>
    <w:rsid w:val="20007182"/>
    <w:rsid w:val="45FD05E5"/>
    <w:rsid w:val="62891B56"/>
    <w:rsid w:val="6F41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3" w:lineRule="auto"/>
      <w:ind w:firstLine="628"/>
      <w:jc w:val="center"/>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hint="default"/>
    </w:rPr>
  </w:style>
  <w:style w:type="paragraph" w:customStyle="1" w:styleId="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99"/>
    <w:rPr>
      <w:rFonts w:cs="Times New Roman"/>
    </w:rPr>
  </w:style>
  <w:style w:type="paragraph" w:customStyle="1" w:styleId="11">
    <w:name w:val="表格文字"/>
    <w:basedOn w:val="1"/>
    <w:qFormat/>
    <w:uiPriority w:val="99"/>
    <w:pPr>
      <w:spacing w:before="25" w:after="25" w:line="300" w:lineRule="auto"/>
    </w:pPr>
    <w:rPr>
      <w:rFonts w:ascii="Times" w:hAnsi="Times"/>
      <w:spacing w:val="10"/>
      <w:kern w:val="0"/>
      <w:sz w:val="24"/>
      <w:szCs w:val="20"/>
    </w:rPr>
  </w:style>
  <w:style w:type="paragraph" w:customStyle="1" w:styleId="12">
    <w:name w:val="列表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1037</Words>
  <Characters>1347</Characters>
  <Lines>0</Lines>
  <Paragraphs>0</Paragraphs>
  <TotalTime>0</TotalTime>
  <ScaleCrop>false</ScaleCrop>
  <LinksUpToDate>false</LinksUpToDate>
  <CharactersWithSpaces>1430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2024-09-14T07:34:00Z</dcterms:created>
  <dc:creator>Administrator</dc:creator>
  <cp:lastModifiedBy>wps</cp:lastModifiedBy>
  <dcterms:modified xsi:type="dcterms:W3CDTF">2024-09-18T05:07:51Z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B6CE85CCE5274A4291555E07D161BF14_13</vt:lpwstr>
  </property>
</Properties>
</file>