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6DAC2">
      <w:pPr>
        <w:pStyle w:val="4"/>
        <w:widowControl/>
        <w:adjustRightInd w:val="0"/>
        <w:spacing w:beforeAutospacing="0" w:afterAutospacing="0" w:line="500" w:lineRule="exact"/>
        <w:jc w:val="left"/>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eastAsia="zh-CN"/>
        </w:rPr>
        <w:t>附件</w:t>
      </w:r>
      <w:r>
        <w:rPr>
          <w:rFonts w:hint="eastAsia" w:ascii="仿宋" w:hAnsi="仿宋" w:eastAsia="仿宋" w:cs="仿宋"/>
          <w:b/>
          <w:bCs/>
          <w:color w:val="auto"/>
          <w:sz w:val="31"/>
          <w:szCs w:val="31"/>
          <w:lang w:val="en-US" w:eastAsia="zh-CN"/>
        </w:rPr>
        <w:t>1</w:t>
      </w:r>
    </w:p>
    <w:p w14:paraId="690BC340">
      <w:pPr>
        <w:pStyle w:val="4"/>
        <w:widowControl/>
        <w:adjustRightInd w:val="0"/>
        <w:spacing w:beforeAutospacing="0" w:afterAutospacing="0" w:line="500" w:lineRule="exact"/>
        <w:jc w:val="center"/>
        <w:rPr>
          <w:rFonts w:hint="eastAsia" w:ascii="仿宋" w:hAnsi="仿宋" w:eastAsia="仿宋" w:cs="仿宋"/>
          <w:b w:val="0"/>
          <w:bCs w:val="0"/>
          <w:color w:val="auto"/>
          <w:sz w:val="32"/>
          <w:szCs w:val="32"/>
        </w:rPr>
      </w:pPr>
      <w:r>
        <w:rPr>
          <w:rFonts w:hint="eastAsia" w:ascii="仿宋" w:hAnsi="仿宋" w:eastAsia="仿宋" w:cs="仿宋"/>
          <w:b/>
          <w:bCs/>
          <w:color w:val="auto"/>
          <w:sz w:val="31"/>
          <w:szCs w:val="31"/>
          <w:lang w:val="en-US" w:eastAsia="zh-CN"/>
        </w:rPr>
        <w:t>政府采购代理评分标准</w:t>
      </w:r>
      <w:bookmarkStart w:id="0" w:name="_GoBack"/>
      <w:bookmarkEnd w:id="0"/>
    </w:p>
    <w:p w14:paraId="48576E78">
      <w:pPr>
        <w:pStyle w:val="4"/>
        <w:widowControl/>
        <w:adjustRightInd w:val="0"/>
        <w:spacing w:beforeAutospacing="0" w:afterAutospacing="0" w:line="500" w:lineRule="exact"/>
        <w:jc w:val="left"/>
        <w:rPr>
          <w:rFonts w:hint="eastAsia" w:ascii="仿宋" w:hAnsi="仿宋" w:eastAsia="仿宋" w:cs="仿宋"/>
          <w:b/>
          <w:bCs/>
          <w:color w:val="auto"/>
          <w:sz w:val="31"/>
          <w:szCs w:val="31"/>
          <w:lang w:eastAsia="zh-CN"/>
        </w:rPr>
      </w:pPr>
    </w:p>
    <w:p w14:paraId="04917D3A">
      <w:pPr>
        <w:pStyle w:val="4"/>
        <w:widowControl/>
        <w:adjustRightInd w:val="0"/>
        <w:spacing w:beforeAutospacing="0" w:afterAutospacing="0" w:line="500" w:lineRule="exact"/>
        <w:jc w:val="left"/>
        <w:rPr>
          <w:rFonts w:hint="eastAsia" w:ascii="仿宋" w:hAnsi="仿宋" w:eastAsia="仿宋" w:cs="仿宋"/>
          <w:b/>
          <w:bCs/>
          <w:color w:val="auto"/>
          <w:sz w:val="31"/>
          <w:szCs w:val="31"/>
          <w:lang w:eastAsia="zh-CN"/>
        </w:rPr>
      </w:pPr>
    </w:p>
    <w:p w14:paraId="29AF1E2B">
      <w:pPr>
        <w:pStyle w:val="4"/>
        <w:widowControl/>
        <w:adjustRightInd w:val="0"/>
        <w:spacing w:beforeAutospacing="0" w:afterAutospacing="0" w:line="500" w:lineRule="exact"/>
        <w:jc w:val="left"/>
        <w:rPr>
          <w:rFonts w:hint="eastAsia" w:ascii="仿宋" w:hAnsi="仿宋" w:eastAsia="仿宋" w:cs="仿宋"/>
          <w:b/>
          <w:bCs/>
          <w:color w:val="auto"/>
          <w:sz w:val="31"/>
          <w:szCs w:val="31"/>
          <w:lang w:eastAsia="zh-CN"/>
        </w:rPr>
      </w:pPr>
    </w:p>
    <w:p w14:paraId="0274703E">
      <w:pPr>
        <w:pStyle w:val="4"/>
        <w:widowControl/>
        <w:adjustRightInd w:val="0"/>
        <w:spacing w:beforeAutospacing="0" w:afterAutospacing="0" w:line="500" w:lineRule="exact"/>
        <w:jc w:val="left"/>
        <w:rPr>
          <w:rFonts w:hint="eastAsia" w:ascii="仿宋" w:hAnsi="仿宋" w:eastAsia="仿宋" w:cs="仿宋"/>
          <w:b/>
          <w:bCs/>
          <w:color w:val="auto"/>
          <w:sz w:val="31"/>
          <w:szCs w:val="31"/>
          <w:lang w:eastAsia="zh-CN"/>
        </w:rPr>
      </w:pPr>
    </w:p>
    <w:p w14:paraId="4E3CFD6F">
      <w:pPr>
        <w:pStyle w:val="4"/>
        <w:widowControl/>
        <w:adjustRightInd w:val="0"/>
        <w:spacing w:beforeAutospacing="0" w:afterAutospacing="0" w:line="500" w:lineRule="exact"/>
        <w:jc w:val="left"/>
        <w:rPr>
          <w:rFonts w:hint="eastAsia" w:ascii="仿宋" w:hAnsi="仿宋" w:eastAsia="仿宋" w:cs="仿宋"/>
          <w:b/>
          <w:bCs/>
          <w:color w:val="auto"/>
          <w:sz w:val="31"/>
          <w:szCs w:val="31"/>
          <w:lang w:eastAsia="zh-CN"/>
        </w:rPr>
      </w:pPr>
    </w:p>
    <w:tbl>
      <w:tblPr>
        <w:tblStyle w:val="5"/>
        <w:tblpPr w:leftFromText="180" w:rightFromText="180" w:vertAnchor="page" w:horzAnchor="page" w:tblpX="1357" w:tblpY="3623"/>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275"/>
        <w:gridCol w:w="780"/>
        <w:gridCol w:w="6240"/>
      </w:tblGrid>
      <w:tr w14:paraId="13D4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5" w:type="dxa"/>
            <w:shd w:val="clear" w:color="auto" w:fill="auto"/>
            <w:vAlign w:val="center"/>
          </w:tcPr>
          <w:p w14:paraId="5380A0CC">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办公场所（12分）</w:t>
            </w:r>
          </w:p>
        </w:tc>
        <w:tc>
          <w:tcPr>
            <w:tcW w:w="1275" w:type="dxa"/>
            <w:shd w:val="clear" w:color="auto" w:fill="auto"/>
            <w:vAlign w:val="center"/>
          </w:tcPr>
          <w:p w14:paraId="29BF328F">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服务保障</w:t>
            </w:r>
          </w:p>
        </w:tc>
        <w:tc>
          <w:tcPr>
            <w:tcW w:w="780" w:type="dxa"/>
            <w:shd w:val="clear" w:color="auto" w:fill="auto"/>
            <w:noWrap/>
            <w:vAlign w:val="center"/>
          </w:tcPr>
          <w:p w14:paraId="2166E384">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12分</w:t>
            </w:r>
          </w:p>
        </w:tc>
        <w:tc>
          <w:tcPr>
            <w:tcW w:w="6240" w:type="dxa"/>
            <w:shd w:val="clear" w:color="auto" w:fill="auto"/>
            <w:noWrap/>
            <w:vAlign w:val="center"/>
          </w:tcPr>
          <w:p w14:paraId="6FACF0EE">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选单位在赣州市中心城区范围内（章贡区、经济开发区、䕓江新区）内有固定办公场所（只允许一栋办公楼内，多处不累加），且有规范的开、评标场地和录像监控设备，开标室与评标室分别有两间独立场所空间，确保评委与投标人的活动区域分隔，另需具备两处独立卫生间，评委卫生间仅限评标人员使用，投标人卫生间仅限供应商使用。满足以上条件的基础上，办公场所面积≧200㎡（含），得4分，≧300㎡（含），得7分，≧500㎡，得10分。参选人经营场所开标室可同时容纳30人（含）以上得2分，本项目最高12分。</w:t>
            </w:r>
          </w:p>
          <w:p w14:paraId="7BBD3D0C">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p>
          <w:p w14:paraId="71F50F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经营场地为自有的提供办公场所产权证复印件并加盖参选单位公章，房屋所有权人须和参选人名称一致，经营场地为租赁的提供与房主签订的在有效期内的租赁合同复印件以及房屋产权证复印件并加盖参选单位公章，租赁合同方名称须和参选人名称一致。未取得房屋产权证的，须提供与办公场所地址一致的购房合同（协议）复印件并加盖参选人公章；</w:t>
            </w:r>
          </w:p>
          <w:p w14:paraId="6C11D12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2.场地布局图（标注出开标室、评标室、卫生间、办公室等场地位置）要求评标室独立卫生间，开标室、评标室和录像监控设备实地照片并加盖参选人公章，开标室同时容纳人数以摆放的桌椅数量计算；</w:t>
            </w:r>
          </w:p>
          <w:p w14:paraId="78F991C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3.未提供或提供不符合要求者得0分。</w:t>
            </w:r>
          </w:p>
          <w:p w14:paraId="181B54E5">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注：建筑面积以房屋产权证或购房合同（协议）载明的对应该办公场所建筑面积为准。</w:t>
            </w:r>
          </w:p>
        </w:tc>
      </w:tr>
      <w:tr w14:paraId="08CF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65" w:type="dxa"/>
            <w:vMerge w:val="restart"/>
            <w:shd w:val="clear" w:color="auto" w:fill="auto"/>
            <w:vAlign w:val="center"/>
          </w:tcPr>
          <w:p w14:paraId="6370D76A">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业绩及人员（60分）</w:t>
            </w:r>
          </w:p>
        </w:tc>
        <w:tc>
          <w:tcPr>
            <w:tcW w:w="1275" w:type="dxa"/>
            <w:shd w:val="clear" w:color="auto" w:fill="auto"/>
            <w:vAlign w:val="center"/>
          </w:tcPr>
          <w:p w14:paraId="69135501">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代理业绩</w:t>
            </w:r>
          </w:p>
        </w:tc>
        <w:tc>
          <w:tcPr>
            <w:tcW w:w="780" w:type="dxa"/>
            <w:shd w:val="clear" w:color="auto" w:fill="auto"/>
            <w:vAlign w:val="center"/>
          </w:tcPr>
          <w:p w14:paraId="13F1C39D">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25分</w:t>
            </w:r>
          </w:p>
        </w:tc>
        <w:tc>
          <w:tcPr>
            <w:tcW w:w="6240" w:type="dxa"/>
            <w:shd w:val="clear" w:color="auto" w:fill="auto"/>
            <w:vAlign w:val="center"/>
          </w:tcPr>
          <w:p w14:paraId="2B598C0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参选单位提供赣州市范围内2022年1月1日以后完成过50万元-500万元（不含500万元）货物类或服务类或工程类政府采购代理工作，每提供1个得1分，本项满分10分。</w:t>
            </w:r>
          </w:p>
          <w:p w14:paraId="0616E41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2.参选单位提供赣州市范围内2022年1月1日以后完成过500万元以上货物类或服务类政府采购代理工作，每提供1个得1.5分，本项满分15分。</w:t>
            </w:r>
          </w:p>
          <w:p w14:paraId="45BAE711">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p>
          <w:p w14:paraId="3F415DFF">
            <w:pPr>
              <w:keepNext w:val="0"/>
              <w:keepLines w:val="0"/>
              <w:pageBreakBefore w:val="0"/>
              <w:numPr>
                <w:ilvl w:val="0"/>
                <w:numId w:val="1"/>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响应文件中须提供业绩汇总表（格式自拟），省级或以上媒体平台发布的成交公告链接及截图，时间均以成交（中标）通知书的落款时间为准；</w:t>
            </w:r>
          </w:p>
          <w:p w14:paraId="2E44A081">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2.参选单位为赣州市分公司或赣州市总公司的，业绩不包含上级总公司或赣州市中心城区外的县（市）级子公司业绩；</w:t>
            </w:r>
          </w:p>
          <w:p w14:paraId="6A14D63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3.参选单位提供网上查询招标公告及成交（中标）公告的截图打印件，公告内容应能体现网站地址、名称、招标代理机构名称，以便开标现场网上核查。</w:t>
            </w:r>
          </w:p>
          <w:p w14:paraId="57EEC4D7">
            <w:pPr>
              <w:keepNext w:val="0"/>
              <w:keepLines w:val="0"/>
              <w:pageBreakBefore w:val="0"/>
              <w:kinsoku/>
              <w:wordWrap/>
              <w:overflowPunct/>
              <w:topLinePunct w:val="0"/>
              <w:autoSpaceDE/>
              <w:autoSpaceDN/>
              <w:bidi w:val="0"/>
              <w:spacing w:line="400" w:lineRule="exact"/>
              <w:ind w:firstLine="482" w:firstLineChars="200"/>
              <w:textAlignment w:val="auto"/>
              <w:rPr>
                <w:rFonts w:hint="eastAsia"/>
                <w:color w:val="auto"/>
                <w:lang w:val="en-US" w:eastAsia="zh-CN"/>
              </w:rPr>
            </w:pPr>
            <w:r>
              <w:rPr>
                <w:rFonts w:hint="eastAsia" w:ascii="仿宋" w:hAnsi="仿宋" w:eastAsia="仿宋" w:cs="仿宋"/>
                <w:b/>
                <w:bCs/>
                <w:color w:val="auto"/>
                <w:kern w:val="2"/>
                <w:sz w:val="24"/>
                <w:szCs w:val="24"/>
                <w:lang w:val="en-US" w:eastAsia="zh-CN" w:bidi="ar-SA"/>
              </w:rPr>
              <w:t>注：以上资料均须加盖参选人公章未提供或提供不符合要求者得0分。</w:t>
            </w:r>
          </w:p>
        </w:tc>
      </w:tr>
      <w:tr w14:paraId="622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165" w:type="dxa"/>
            <w:vMerge w:val="continue"/>
            <w:shd w:val="clear" w:color="auto" w:fill="auto"/>
            <w:vAlign w:val="center"/>
          </w:tcPr>
          <w:p w14:paraId="2743AA4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p>
        </w:tc>
        <w:tc>
          <w:tcPr>
            <w:tcW w:w="1275" w:type="dxa"/>
            <w:shd w:val="clear" w:color="auto" w:fill="auto"/>
            <w:vAlign w:val="center"/>
          </w:tcPr>
          <w:p w14:paraId="20CD3973">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专业技术人员</w:t>
            </w:r>
          </w:p>
        </w:tc>
        <w:tc>
          <w:tcPr>
            <w:tcW w:w="780" w:type="dxa"/>
            <w:shd w:val="clear" w:color="auto" w:fill="auto"/>
            <w:vAlign w:val="center"/>
          </w:tcPr>
          <w:p w14:paraId="6548659F">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35分</w:t>
            </w:r>
          </w:p>
        </w:tc>
        <w:tc>
          <w:tcPr>
            <w:tcW w:w="6240" w:type="dxa"/>
            <w:shd w:val="clear" w:color="auto" w:fill="auto"/>
            <w:vAlign w:val="center"/>
          </w:tcPr>
          <w:p w14:paraId="0C93E88F">
            <w:pPr>
              <w:keepNext w:val="0"/>
              <w:keepLines w:val="0"/>
              <w:pageBreakBefore w:val="0"/>
              <w:numPr>
                <w:ilvl w:val="0"/>
                <w:numId w:val="2"/>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参选单位为本单位项目提供服务的人员中，具有有效期内的政府采购从业人员培训合格证的，每提供一个得2分；满分10分。</w:t>
            </w:r>
          </w:p>
          <w:p w14:paraId="1D69A153">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评分依据:</w:t>
            </w:r>
            <w:r>
              <w:rPr>
                <w:rFonts w:hint="eastAsia" w:ascii="仿宋" w:hAnsi="仿宋" w:eastAsia="仿宋" w:cs="仿宋"/>
                <w:color w:val="auto"/>
                <w:kern w:val="2"/>
                <w:sz w:val="24"/>
                <w:szCs w:val="24"/>
                <w:lang w:val="en-US" w:eastAsia="zh-CN" w:bidi="ar-SA"/>
              </w:rPr>
              <w:t>提供政府采购从业人员培训合格证书扫描打印件（盖有2023或2024年培训电子章且有效期内的打印件加盖公章，原件备查），并提供供应商从开标截止时间之日起前任意二个月（2024年11月至2025年4月）为其缴纳社保证明材料原件扫描打印件加盖公章，否则不得分。</w:t>
            </w:r>
          </w:p>
          <w:p w14:paraId="01BFD756">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项目团队负责人：参选单位拟为本单位服务的项目经理在本公司政府采购工作年限≧2年，得4分，在本公司政府采购工作年限≧3年，得6分，在本公司政府采购工作年限≧4年，得8分，在本公司政府采购工作年限≧5年，得10分。</w:t>
            </w:r>
          </w:p>
          <w:p w14:paraId="04214DEB">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评分依据:</w:t>
            </w:r>
            <w:r>
              <w:rPr>
                <w:rFonts w:hint="eastAsia" w:ascii="仿宋" w:hAnsi="仿宋" w:eastAsia="仿宋" w:cs="仿宋"/>
                <w:color w:val="auto"/>
                <w:kern w:val="2"/>
                <w:sz w:val="24"/>
                <w:szCs w:val="24"/>
                <w:lang w:val="en-US" w:eastAsia="zh-CN" w:bidi="ar-SA"/>
              </w:rPr>
              <w:t>提供该项目经理从开标截止时间之日前公司为其缴纳社保证明材料（2021年-2024每年提供上半年、下半年各任意一个月，2025年提供1-4月任意一个月）彩色打印件以及参选单位不随意更换项目经理服务承诺函原件，以上材料均加盖参选单位公章，否则不得分。</w:t>
            </w:r>
          </w:p>
          <w:p w14:paraId="26734ACB">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3.项目团队负责人笔试：报名截止后，组织拟服务本项目的项目经理进行现场笔试，笔试内容为政府采购相关知识，笔试最高分为基准分，笔试得分=考试得分/基准分*15分，满分得15分。</w:t>
            </w:r>
          </w:p>
          <w:p w14:paraId="1539C2E5">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r>
              <w:rPr>
                <w:rFonts w:hint="eastAsia" w:ascii="仿宋" w:hAnsi="仿宋" w:eastAsia="仿宋" w:cs="仿宋"/>
                <w:color w:val="auto"/>
                <w:kern w:val="2"/>
                <w:sz w:val="24"/>
                <w:szCs w:val="24"/>
                <w:lang w:val="en-US" w:eastAsia="zh-CN" w:bidi="ar-SA"/>
              </w:rPr>
              <w:t>根据规定时间内完成的答卷，由评审小组在纪检监察室的监督下完成阅卷评分，计算出笔试得分。</w:t>
            </w:r>
          </w:p>
          <w:p w14:paraId="18AE0404">
            <w:pPr>
              <w:pStyle w:val="2"/>
              <w:ind w:left="0" w:leftChars="0" w:firstLine="0" w:firstLineChars="0"/>
              <w:rPr>
                <w:rFonts w:hint="default"/>
                <w:color w:val="auto"/>
                <w:lang w:val="en-US" w:eastAsia="zh-CN"/>
              </w:rPr>
            </w:pP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b/>
                <w:bCs/>
                <w:color w:val="auto"/>
                <w:kern w:val="2"/>
                <w:sz w:val="24"/>
                <w:szCs w:val="24"/>
                <w:lang w:val="en-US" w:eastAsia="zh-CN" w:bidi="ar-SA"/>
              </w:rPr>
              <w:t>注：承诺函后期将作为考核依据。</w:t>
            </w:r>
          </w:p>
        </w:tc>
      </w:tr>
      <w:tr w14:paraId="0F86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14:paraId="0F8E53AB">
            <w:pPr>
              <w:keepNext w:val="0"/>
              <w:keepLines w:val="0"/>
              <w:pageBreakBefore w:val="0"/>
              <w:kinsoku/>
              <w:wordWrap/>
              <w:overflowPunct/>
              <w:topLinePunct w:val="0"/>
              <w:autoSpaceDE/>
              <w:autoSpaceDN/>
              <w:bidi w:val="0"/>
              <w:spacing w:line="400" w:lineRule="exact"/>
              <w:ind w:firstLine="27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采购代理前、后沿服务能力（4分）</w:t>
            </w:r>
          </w:p>
        </w:tc>
        <w:tc>
          <w:tcPr>
            <w:tcW w:w="1275" w:type="dxa"/>
            <w:shd w:val="clear" w:color="auto" w:fill="auto"/>
            <w:vAlign w:val="center"/>
          </w:tcPr>
          <w:p w14:paraId="54A20259">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采购代理前、后沿服务资质</w:t>
            </w:r>
          </w:p>
        </w:tc>
        <w:tc>
          <w:tcPr>
            <w:tcW w:w="780" w:type="dxa"/>
            <w:shd w:val="clear" w:color="auto" w:fill="auto"/>
            <w:vAlign w:val="center"/>
          </w:tcPr>
          <w:p w14:paraId="2E8589A3">
            <w:pPr>
              <w:keepNext w:val="0"/>
              <w:keepLines w:val="0"/>
              <w:pageBreakBefore w:val="0"/>
              <w:kinsoku/>
              <w:wordWrap/>
              <w:overflowPunct/>
              <w:topLinePunct w:val="0"/>
              <w:autoSpaceDE/>
              <w:autoSpaceDN/>
              <w:bidi w:val="0"/>
              <w:spacing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4分</w:t>
            </w:r>
          </w:p>
        </w:tc>
        <w:tc>
          <w:tcPr>
            <w:tcW w:w="6240" w:type="dxa"/>
            <w:shd w:val="clear" w:color="auto" w:fill="auto"/>
            <w:vAlign w:val="center"/>
          </w:tcPr>
          <w:p w14:paraId="3E093F1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参选单位承诺提供政府采购代理前、后沿造价咨询及采购需求调查和项目绩效评价配套服务。如：造价咨询公司、资产评估公司（造价咨询及需求调查服务）、会计师事务所（项目绩效评价），得4分。</w:t>
            </w:r>
          </w:p>
          <w:p w14:paraId="229E240A">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评分依据：</w:t>
            </w:r>
            <w:r>
              <w:rPr>
                <w:rFonts w:hint="eastAsia" w:ascii="仿宋" w:hAnsi="仿宋" w:eastAsia="仿宋" w:cs="仿宋"/>
                <w:color w:val="auto"/>
                <w:kern w:val="2"/>
                <w:sz w:val="24"/>
                <w:szCs w:val="24"/>
                <w:lang w:val="en-US" w:eastAsia="zh-CN" w:bidi="ar-SA"/>
              </w:rPr>
              <w:t>提供参选单位提供政府采购代理前、后沿造价咨询、采购需求调查、项目绩效评价配套服务的承诺函原件加盖公章。</w:t>
            </w:r>
          </w:p>
          <w:p w14:paraId="19FF01E2">
            <w:pPr>
              <w:keepNext w:val="0"/>
              <w:keepLines w:val="0"/>
              <w:pageBreakBefore w:val="0"/>
              <w:kinsoku/>
              <w:wordWrap/>
              <w:overflowPunct/>
              <w:topLinePunct w:val="0"/>
              <w:autoSpaceDE/>
              <w:autoSpaceDN/>
              <w:bidi w:val="0"/>
              <w:spacing w:line="400" w:lineRule="exact"/>
              <w:ind w:firstLine="482" w:firstLineChars="200"/>
              <w:textAlignment w:val="auto"/>
              <w:rPr>
                <w:rFonts w:hint="default"/>
                <w:color w:val="auto"/>
                <w:lang w:val="en-US" w:eastAsia="zh-CN"/>
              </w:rPr>
            </w:pPr>
            <w:r>
              <w:rPr>
                <w:rFonts w:hint="eastAsia" w:ascii="仿宋" w:hAnsi="仿宋" w:eastAsia="仿宋" w:cs="仿宋"/>
                <w:b/>
                <w:bCs/>
                <w:color w:val="auto"/>
                <w:kern w:val="2"/>
                <w:sz w:val="24"/>
                <w:szCs w:val="24"/>
                <w:lang w:val="en-US" w:eastAsia="zh-CN" w:bidi="ar-SA"/>
              </w:rPr>
              <w:t>注：承诺函后期将作为考核依据。</w:t>
            </w:r>
          </w:p>
        </w:tc>
      </w:tr>
      <w:tr w14:paraId="5D23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14:paraId="6545BAA4">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合法合规处理质疑投诉能力（5分）</w:t>
            </w:r>
          </w:p>
        </w:tc>
        <w:tc>
          <w:tcPr>
            <w:tcW w:w="1275" w:type="dxa"/>
            <w:shd w:val="clear" w:color="auto" w:fill="auto"/>
            <w:vAlign w:val="center"/>
          </w:tcPr>
          <w:p w14:paraId="3F0D842F">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法律顾问</w:t>
            </w:r>
          </w:p>
        </w:tc>
        <w:tc>
          <w:tcPr>
            <w:tcW w:w="780" w:type="dxa"/>
            <w:shd w:val="clear" w:color="auto" w:fill="auto"/>
            <w:vAlign w:val="center"/>
          </w:tcPr>
          <w:p w14:paraId="0C55940A">
            <w:pPr>
              <w:keepNext w:val="0"/>
              <w:keepLines w:val="0"/>
              <w:pageBreakBefore w:val="0"/>
              <w:kinsoku/>
              <w:wordWrap/>
              <w:overflowPunct/>
              <w:topLinePunct w:val="0"/>
              <w:autoSpaceDE/>
              <w:autoSpaceDN/>
              <w:bidi w:val="0"/>
              <w:spacing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c>
          <w:tcPr>
            <w:tcW w:w="6240" w:type="dxa"/>
            <w:shd w:val="clear" w:color="auto" w:fill="auto"/>
            <w:vAlign w:val="center"/>
          </w:tcPr>
          <w:p w14:paraId="6512D196">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参选单位自有或外聘法律顾问的，每提供1名得2.5分，本项最高得5分。</w:t>
            </w:r>
          </w:p>
          <w:p w14:paraId="0D7AB34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依据：提供律书资格证复件及从开标截止时间之日起前任意二个月（2024年11月至2025年4月）参选单位为其缴纳社保证明材料或聘用合同（或与外聘法律顾问签订的在有效期内的协议）复件件加盖参选单位公章，未提供或提供无效的不得分。</w:t>
            </w:r>
          </w:p>
          <w:p w14:paraId="77027FCB">
            <w:pPr>
              <w:pStyle w:val="2"/>
              <w:ind w:left="0" w:leftChars="0" w:firstLine="0" w:firstLineChars="0"/>
              <w:rPr>
                <w:rFonts w:hint="default"/>
                <w:color w:val="auto"/>
                <w:lang w:val="en-US" w:eastAsia="zh-CN"/>
              </w:rPr>
            </w:pP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b/>
                <w:bCs/>
                <w:color w:val="auto"/>
                <w:kern w:val="2"/>
                <w:sz w:val="24"/>
                <w:szCs w:val="24"/>
                <w:lang w:val="en-US" w:eastAsia="zh-CN" w:bidi="ar-SA"/>
              </w:rPr>
              <w:t>注：后期将作为考核依据。</w:t>
            </w:r>
          </w:p>
        </w:tc>
      </w:tr>
      <w:tr w14:paraId="66F2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14:paraId="56BEADDA">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创新增值服务方案（5分）</w:t>
            </w:r>
          </w:p>
        </w:tc>
        <w:tc>
          <w:tcPr>
            <w:tcW w:w="1275" w:type="dxa"/>
            <w:shd w:val="clear" w:color="auto" w:fill="auto"/>
            <w:vAlign w:val="center"/>
          </w:tcPr>
          <w:p w14:paraId="7F9C5A13">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增值服务（自主发挥）</w:t>
            </w:r>
          </w:p>
        </w:tc>
        <w:tc>
          <w:tcPr>
            <w:tcW w:w="780" w:type="dxa"/>
            <w:shd w:val="clear" w:color="auto" w:fill="auto"/>
            <w:vAlign w:val="center"/>
          </w:tcPr>
          <w:p w14:paraId="06CEFC98">
            <w:pPr>
              <w:keepNext w:val="0"/>
              <w:keepLines w:val="0"/>
              <w:pageBreakBefore w:val="0"/>
              <w:kinsoku/>
              <w:wordWrap/>
              <w:overflowPunct/>
              <w:topLinePunct w:val="0"/>
              <w:autoSpaceDE/>
              <w:autoSpaceDN/>
              <w:bidi w:val="0"/>
              <w:spacing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c>
          <w:tcPr>
            <w:tcW w:w="6240" w:type="dxa"/>
            <w:shd w:val="clear" w:color="auto" w:fill="auto"/>
            <w:vAlign w:val="center"/>
          </w:tcPr>
          <w:p w14:paraId="40B977E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创新增值服务方案参选单位根据适用采购人原则提出的意见或建议，包括但不限于为采购人提供采购相关法律法规培训、标后审查</w:t>
            </w:r>
            <w:r>
              <w:rPr>
                <w:rFonts w:hint="eastAsia" w:ascii="仿宋" w:hAnsi="仿宋" w:eastAsia="仿宋" w:cs="仿宋"/>
                <w:color w:val="auto"/>
                <w:sz w:val="32"/>
                <w:szCs w:val="32"/>
                <w:lang w:val="en-US" w:eastAsia="zh-CN"/>
              </w:rPr>
              <w:t>……</w:t>
            </w:r>
            <w:r>
              <w:rPr>
                <w:rFonts w:hint="eastAsia" w:ascii="仿宋" w:hAnsi="仿宋" w:eastAsia="仿宋" w:cs="仿宋"/>
                <w:color w:val="auto"/>
                <w:kern w:val="2"/>
                <w:sz w:val="24"/>
                <w:szCs w:val="24"/>
                <w:lang w:val="en-US" w:eastAsia="zh-CN" w:bidi="ar-SA"/>
              </w:rPr>
              <w:t>等有利于采购人的意见或建议。每提出一项符合要求的创新增值服务得1分，满分5分。</w:t>
            </w:r>
          </w:p>
          <w:p w14:paraId="36158B19">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评审依据：</w:t>
            </w:r>
            <w:r>
              <w:rPr>
                <w:rFonts w:hint="eastAsia" w:ascii="仿宋" w:hAnsi="仿宋" w:eastAsia="仿宋" w:cs="仿宋"/>
                <w:color w:val="auto"/>
                <w:kern w:val="2"/>
                <w:sz w:val="24"/>
                <w:szCs w:val="24"/>
                <w:lang w:val="en-US" w:eastAsia="zh-CN" w:bidi="ar-SA"/>
              </w:rPr>
              <w:t>响应文件中提供创新增值服务方案，未提供或提供无效的不得分。</w:t>
            </w:r>
          </w:p>
          <w:p w14:paraId="6D864660">
            <w:pPr>
              <w:pStyle w:val="2"/>
              <w:ind w:left="0" w:leftChars="0" w:firstLine="0" w:firstLineChars="0"/>
              <w:rPr>
                <w:rFonts w:hint="default"/>
                <w:color w:val="auto"/>
                <w:lang w:val="en-US" w:eastAsia="zh-CN"/>
              </w:rPr>
            </w:pP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b/>
                <w:bCs/>
                <w:color w:val="auto"/>
                <w:kern w:val="2"/>
                <w:sz w:val="24"/>
                <w:szCs w:val="24"/>
                <w:lang w:val="en-US" w:eastAsia="zh-CN" w:bidi="ar-SA"/>
              </w:rPr>
              <w:t>注：后期将作为考核依据。</w:t>
            </w:r>
          </w:p>
        </w:tc>
      </w:tr>
      <w:tr w14:paraId="2937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14:paraId="17526CA0">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合规经营情况（5分）</w:t>
            </w:r>
          </w:p>
        </w:tc>
        <w:tc>
          <w:tcPr>
            <w:tcW w:w="1275" w:type="dxa"/>
            <w:shd w:val="clear" w:color="auto" w:fill="auto"/>
            <w:vAlign w:val="center"/>
          </w:tcPr>
          <w:p w14:paraId="1157684A">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合规经营情况</w:t>
            </w:r>
          </w:p>
        </w:tc>
        <w:tc>
          <w:tcPr>
            <w:tcW w:w="780" w:type="dxa"/>
            <w:shd w:val="clear" w:color="auto" w:fill="auto"/>
            <w:vAlign w:val="center"/>
          </w:tcPr>
          <w:p w14:paraId="4C1B672F">
            <w:pPr>
              <w:keepNext w:val="0"/>
              <w:keepLines w:val="0"/>
              <w:pageBreakBefore w:val="0"/>
              <w:kinsoku/>
              <w:wordWrap/>
              <w:overflowPunct/>
              <w:topLinePunct w:val="0"/>
              <w:autoSpaceDE/>
              <w:autoSpaceDN/>
              <w:bidi w:val="0"/>
              <w:spacing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5分</w:t>
            </w:r>
          </w:p>
        </w:tc>
        <w:tc>
          <w:tcPr>
            <w:tcW w:w="6240" w:type="dxa"/>
            <w:shd w:val="clear" w:color="auto" w:fill="auto"/>
            <w:vAlign w:val="center"/>
          </w:tcPr>
          <w:p w14:paraId="6BA50C40">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赣州市财政局发布的《2024年度政府采购代理机构执业情况及记分情况公告》，查询2024年度代理机构执业情况及记分情况，已扣0分得5分。扣3分得3分，扣6分得1分，扣6分（不含）以上得0分，无法查询到的代理机构得0分。满分（5分）</w:t>
            </w:r>
          </w:p>
          <w:p w14:paraId="176B8C0F">
            <w:pPr>
              <w:keepNext w:val="0"/>
              <w:keepLines w:val="0"/>
              <w:pageBreakBefore w:val="0"/>
              <w:kinsoku/>
              <w:wordWrap/>
              <w:overflowPunct/>
              <w:topLinePunct w:val="0"/>
              <w:autoSpaceDE/>
              <w:autoSpaceDN/>
              <w:bidi w:val="0"/>
              <w:spacing w:line="400" w:lineRule="exact"/>
              <w:ind w:firstLine="482" w:firstLineChars="200"/>
              <w:textAlignment w:val="auto"/>
              <w:rPr>
                <w:rFonts w:hint="default"/>
                <w:color w:val="auto"/>
                <w:lang w:val="en-US" w:eastAsia="zh-CN"/>
              </w:rPr>
            </w:pPr>
            <w:r>
              <w:rPr>
                <w:rFonts w:hint="eastAsia" w:ascii="仿宋" w:hAnsi="仿宋" w:eastAsia="仿宋" w:cs="仿宋"/>
                <w:b/>
                <w:bCs/>
                <w:color w:val="auto"/>
                <w:kern w:val="2"/>
                <w:sz w:val="24"/>
                <w:szCs w:val="24"/>
                <w:lang w:val="en-US" w:eastAsia="zh-CN" w:bidi="ar-SA"/>
              </w:rPr>
              <w:t>评分依据：</w:t>
            </w:r>
            <w:r>
              <w:rPr>
                <w:rFonts w:hint="eastAsia" w:ascii="仿宋" w:hAnsi="仿宋" w:eastAsia="仿宋" w:cs="仿宋"/>
                <w:color w:val="auto"/>
                <w:kern w:val="2"/>
                <w:sz w:val="24"/>
                <w:szCs w:val="24"/>
                <w:lang w:val="en-US" w:eastAsia="zh-CN" w:bidi="ar-SA"/>
              </w:rPr>
              <w:t>响应文件中提供赣州市财政局官司网（赣州市政府采购代理机构执业情况及记分情况公告）截图https://czj.ganzhou.gov.cn/gzsczj/c105700/202501/2fa7b01684e94bbea118cfd40887faa4.shtml</w:t>
            </w:r>
          </w:p>
        </w:tc>
      </w:tr>
      <w:tr w14:paraId="387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65" w:type="dxa"/>
            <w:shd w:val="clear" w:color="auto" w:fill="auto"/>
            <w:vAlign w:val="center"/>
          </w:tcPr>
          <w:p w14:paraId="60C4DF05">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服务方案及措施（9分）</w:t>
            </w:r>
          </w:p>
        </w:tc>
        <w:tc>
          <w:tcPr>
            <w:tcW w:w="1275" w:type="dxa"/>
            <w:shd w:val="clear" w:color="auto" w:fill="auto"/>
            <w:vAlign w:val="center"/>
          </w:tcPr>
          <w:p w14:paraId="7D541FB5">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服务方案及措施</w:t>
            </w:r>
          </w:p>
        </w:tc>
        <w:tc>
          <w:tcPr>
            <w:tcW w:w="780" w:type="dxa"/>
            <w:shd w:val="clear" w:color="auto" w:fill="auto"/>
            <w:vAlign w:val="center"/>
          </w:tcPr>
          <w:p w14:paraId="56AEB96F">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9分</w:t>
            </w:r>
          </w:p>
        </w:tc>
        <w:tc>
          <w:tcPr>
            <w:tcW w:w="6240" w:type="dxa"/>
            <w:shd w:val="clear" w:color="auto" w:fill="auto"/>
            <w:vAlign w:val="center"/>
          </w:tcPr>
          <w:p w14:paraId="106D8E7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对政府采购代理工作流程、规章制度完善、质疑投诉处理、内部控制方案的科学合理性、针对性、操作性进行打分，方案科学合理、操作性和针对性强得3分，方案科学合理、操作性和针对性一般得2分，方案科学合理、操作性和针对性较差得1分，不提供不得分。</w:t>
            </w:r>
          </w:p>
          <w:p w14:paraId="0C5AEBC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对政府代理服务质量保证保障措施、采购文件稽核审核、业务人员保密措施、采购风险预判及防控措施科学合理性、针对性、操作性强得3分，各项措施科学合理性、针对性、操作性一般得2分，各措施科学合理性、针对性、操作性较差得1分，不提供不得分。</w:t>
            </w:r>
          </w:p>
          <w:p w14:paraId="3BEAEBA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对政府采购代理从业人员职业道德教育、廉洁从业教育、专业业务能力培训方案科学合理性、针对性、操作性强得3分，方案科学合理性、针对性、操作性一般得2分，方案科学合理性、针对性、操作性较差得1分，不提供不得分。</w:t>
            </w:r>
          </w:p>
          <w:p w14:paraId="7713BE96">
            <w:pPr>
              <w:pStyle w:val="2"/>
              <w:ind w:left="0" w:leftChars="0" w:firstLine="0" w:firstLineChars="0"/>
              <w:rPr>
                <w:rFonts w:hint="default"/>
                <w:color w:val="auto"/>
                <w:lang w:val="en-US" w:eastAsia="zh-CN"/>
              </w:rPr>
            </w:pP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b/>
                <w:bCs/>
                <w:color w:val="auto"/>
                <w:kern w:val="2"/>
                <w:sz w:val="24"/>
                <w:szCs w:val="24"/>
                <w:lang w:val="en-US" w:eastAsia="zh-CN" w:bidi="ar-SA"/>
              </w:rPr>
              <w:t>注：后期将作为考核依据。</w:t>
            </w:r>
          </w:p>
        </w:tc>
      </w:tr>
    </w:tbl>
    <w:p w14:paraId="5A620062">
      <w:pPr>
        <w:pStyle w:val="4"/>
        <w:widowControl/>
        <w:adjustRightInd w:val="0"/>
        <w:spacing w:beforeAutospacing="0" w:afterAutospacing="0" w:line="500" w:lineRule="exact"/>
        <w:rPr>
          <w:rFonts w:ascii="仿宋" w:hAnsi="仿宋" w:eastAsia="仿宋" w:cs="仿宋"/>
          <w:b/>
          <w:color w:val="auto"/>
          <w:sz w:val="31"/>
          <w:szCs w:val="31"/>
        </w:rPr>
      </w:pPr>
    </w:p>
    <w:p w14:paraId="57DDA468">
      <w:pPr>
        <w:pStyle w:val="4"/>
        <w:widowControl/>
        <w:adjustRightInd w:val="0"/>
        <w:spacing w:beforeAutospacing="0" w:afterAutospacing="0" w:line="500" w:lineRule="exact"/>
        <w:rPr>
          <w:rFonts w:ascii="仿宋" w:hAnsi="仿宋" w:eastAsia="仿宋" w:cs="仿宋"/>
          <w:b/>
          <w:color w:val="auto"/>
          <w:sz w:val="31"/>
          <w:szCs w:val="31"/>
        </w:rPr>
      </w:pPr>
    </w:p>
    <w:p w14:paraId="5470089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PMingLiU-ExtB"/>
    <w:panose1 w:val="02070309020205020404"/>
    <w:charset w:val="01"/>
    <w:family w:val="modern"/>
    <w:pitch w:val="default"/>
    <w:sig w:usb0="E0002AFF" w:usb1="C0007843" w:usb2="00000009" w:usb3="00000000" w:csb0="400001FF" w:csb1="FFFF0000"/>
  </w:font>
  <w:font w:name="Symbol">
    <w:altName w:val="MS Outlook"/>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S Outlook">
    <w:panose1 w:val="0501010001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83C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30789"/>
    <w:multiLevelType w:val="singleLevel"/>
    <w:tmpl w:val="02930789"/>
    <w:lvl w:ilvl="0" w:tentative="0">
      <w:start w:val="1"/>
      <w:numFmt w:val="decimal"/>
      <w:lvlText w:val="%1."/>
      <w:lvlJc w:val="left"/>
      <w:pPr>
        <w:tabs>
          <w:tab w:val="left" w:pos="312"/>
        </w:tabs>
      </w:pPr>
    </w:lvl>
  </w:abstractNum>
  <w:abstractNum w:abstractNumId="1">
    <w:nsid w:val="64748C44"/>
    <w:multiLevelType w:val="singleLevel"/>
    <w:tmpl w:val="64748C4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02E98"/>
    <w:rsid w:val="55502E98"/>
    <w:rsid w:val="598F5738"/>
    <w:rsid w:val="672A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2556</Words>
  <Characters>2731</Characters>
  <Lines>0</Lines>
  <Paragraphs>0</Paragraphs>
  <TotalTime>0</TotalTime>
  <ScaleCrop>false</ScaleCrop>
  <LinksUpToDate>false</LinksUpToDate>
  <CharactersWithSpaces>2743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2025-06-11T02:37:00Z</dcterms:created>
  <dc:creator> 紫叶汐影</dc:creator>
  <cp:lastModifiedBy> 紫叶汐影</cp:lastModifiedBy>
  <dcterms:modified xsi:type="dcterms:W3CDTF">2025-06-11T02:39:09Z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D9384DFFE4B94E87862BD72BA8D92D54_11</vt:lpwstr>
  </property>
  <property fmtid="{D5CDD505-2E9C-101B-9397-08002B2CF9AE}" pid="4" name="KSOTemplateDocerSaveRecord">
    <vt:lpwstr>eyJoZGlkIjoiZDQ1YWU0OGIyODRlOTk3Mzk2ODU4ZDNhMzU1YmIwY2YiLCJ1c2VySWQiOiI1NjU0OTQyNjkifQ==</vt:lpwstr>
  </property>
</Properties>
</file>